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1C46AC"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6933E30" w:rsidR="008D7E3A" w:rsidRDefault="008D7E3A" w:rsidP="008D7E3A">
      <w:pPr>
        <w:ind w:left="144" w:right="144"/>
        <w:jc w:val="center"/>
        <w:rPr>
          <w:sz w:val="20"/>
          <w:szCs w:val="20"/>
        </w:rPr>
      </w:pPr>
      <w:r>
        <w:rPr>
          <w:b/>
          <w:bCs/>
          <w:sz w:val="20"/>
          <w:szCs w:val="20"/>
        </w:rPr>
        <w:t>Date of report (Date of earliest event reported):  August 1</w:t>
      </w:r>
      <w:r w:rsidR="00CD55C2">
        <w:rPr>
          <w:b/>
          <w:bCs/>
          <w:sz w:val="20"/>
          <w:szCs w:val="20"/>
        </w:rPr>
        <w:t>9</w:t>
      </w:r>
      <w:r>
        <w:rPr>
          <w:b/>
          <w:bCs/>
          <w:sz w:val="20"/>
          <w:szCs w:val="20"/>
        </w:rPr>
        <w:t>, 2021</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1C46AC"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6129E186" w14:textId="77777777" w:rsidR="008D7E3A" w:rsidRDefault="008D7E3A" w:rsidP="008D7E3A">
      <w:pPr>
        <w:ind w:left="144" w:right="144"/>
        <w:rPr>
          <w:sz w:val="20"/>
          <w:szCs w:val="20"/>
        </w:rPr>
      </w:pPr>
      <w:r>
        <w:rPr>
          <w:sz w:val="20"/>
          <w:szCs w:val="20"/>
        </w:rPr>
        <w:t> </w:t>
      </w:r>
    </w:p>
    <w:p w14:paraId="1EBDC2D3" w14:textId="77777777" w:rsidR="008D7E3A" w:rsidRDefault="008D7E3A" w:rsidP="008D7E3A">
      <w:pPr>
        <w:ind w:left="144" w:right="144"/>
        <w:jc w:val="both"/>
        <w:rPr>
          <w:sz w:val="20"/>
          <w:szCs w:val="20"/>
        </w:rPr>
      </w:pPr>
      <w:r>
        <w:rPr>
          <w:sz w:val="20"/>
          <w:szCs w:val="20"/>
        </w:rPr>
        <w:t xml:space="preserve">This Form 8-K and other reports filed by GeoVax Labs, Inc. (the “Registrant” or the “Company”)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w:t>
      </w:r>
      <w:proofErr w:type="gramStart"/>
      <w:r>
        <w:rPr>
          <w:sz w:val="20"/>
          <w:szCs w:val="20"/>
        </w:rPr>
        <w:t>assumptions</w:t>
      </w:r>
      <w:proofErr w:type="gramEnd"/>
      <w:r>
        <w:rPr>
          <w:sz w:val="20"/>
          <w:szCs w:val="20"/>
        </w:rPr>
        <w:t xml:space="preserve">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Registrant does not undertake to update its forward-looking statements.</w:t>
      </w:r>
    </w:p>
    <w:p w14:paraId="70E7D6C4"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41B57D0A" w14:textId="77777777" w:rsidTr="008D7E3A">
        <w:tc>
          <w:tcPr>
            <w:tcW w:w="1260" w:type="dxa"/>
            <w:tcMar>
              <w:top w:w="5" w:type="dxa"/>
              <w:left w:w="5" w:type="dxa"/>
              <w:bottom w:w="5" w:type="dxa"/>
              <w:right w:w="5" w:type="dxa"/>
            </w:tcMar>
            <w:hideMark/>
          </w:tcPr>
          <w:p w14:paraId="09270D4D" w14:textId="70A4832F" w:rsidR="008D7E3A" w:rsidRDefault="008D7E3A">
            <w:pPr>
              <w:rPr>
                <w:color w:val="000000"/>
                <w:sz w:val="20"/>
                <w:szCs w:val="20"/>
              </w:rPr>
            </w:pPr>
            <w:r>
              <w:rPr>
                <w:b/>
                <w:bCs/>
                <w:color w:val="000000"/>
                <w:sz w:val="20"/>
                <w:szCs w:val="20"/>
              </w:rPr>
              <w:t xml:space="preserve">Item </w:t>
            </w:r>
            <w:r w:rsidR="00FD1599">
              <w:rPr>
                <w:b/>
                <w:bCs/>
                <w:color w:val="000000"/>
                <w:sz w:val="20"/>
                <w:szCs w:val="20"/>
              </w:rPr>
              <w:t>8.01</w:t>
            </w:r>
            <w:r>
              <w:rPr>
                <w:b/>
                <w:bCs/>
                <w:color w:val="000000"/>
                <w:sz w:val="20"/>
                <w:szCs w:val="20"/>
              </w:rPr>
              <w:t xml:space="preserve"> </w:t>
            </w:r>
          </w:p>
        </w:tc>
        <w:tc>
          <w:tcPr>
            <w:tcW w:w="0" w:type="auto"/>
            <w:tcMar>
              <w:top w:w="5" w:type="dxa"/>
              <w:left w:w="5" w:type="dxa"/>
              <w:bottom w:w="5" w:type="dxa"/>
              <w:right w:w="5" w:type="dxa"/>
            </w:tcMar>
            <w:hideMark/>
          </w:tcPr>
          <w:p w14:paraId="3A35EC42" w14:textId="71301A74" w:rsidR="008D7E3A" w:rsidRDefault="00FD1599">
            <w:pPr>
              <w:rPr>
                <w:color w:val="000000"/>
                <w:sz w:val="20"/>
                <w:szCs w:val="20"/>
              </w:rPr>
            </w:pPr>
            <w:r>
              <w:rPr>
                <w:b/>
                <w:bCs/>
                <w:color w:val="000000"/>
                <w:sz w:val="20"/>
                <w:szCs w:val="20"/>
              </w:rPr>
              <w:t>Other Events</w:t>
            </w:r>
            <w:r w:rsidR="008D7E3A">
              <w:rPr>
                <w:b/>
                <w:bCs/>
                <w:color w:val="000000"/>
                <w:sz w:val="20"/>
                <w:szCs w:val="20"/>
              </w:rPr>
              <w:t>.</w:t>
            </w:r>
          </w:p>
        </w:tc>
      </w:tr>
    </w:tbl>
    <w:p w14:paraId="6A8AB309" w14:textId="77777777" w:rsidR="008D7E3A" w:rsidRDefault="008D7E3A" w:rsidP="008D7E3A">
      <w:pPr>
        <w:ind w:left="144" w:right="144"/>
        <w:rPr>
          <w:sz w:val="20"/>
          <w:szCs w:val="20"/>
        </w:rPr>
      </w:pPr>
      <w:r>
        <w:rPr>
          <w:b/>
          <w:bCs/>
          <w:i/>
          <w:iCs/>
          <w:sz w:val="20"/>
          <w:szCs w:val="20"/>
        </w:rPr>
        <w:t> </w:t>
      </w:r>
      <w:r>
        <w:rPr>
          <w:sz w:val="20"/>
          <w:szCs w:val="20"/>
        </w:rPr>
        <w:t> </w:t>
      </w:r>
    </w:p>
    <w:p w14:paraId="3D95F5B0" w14:textId="77777777" w:rsidR="00F100FC" w:rsidRDefault="008D7E3A" w:rsidP="00BB7014">
      <w:pPr>
        <w:ind w:left="144" w:right="144"/>
        <w:jc w:val="both"/>
        <w:rPr>
          <w:sz w:val="20"/>
          <w:szCs w:val="20"/>
        </w:rPr>
      </w:pPr>
      <w:r>
        <w:rPr>
          <w:bCs/>
          <w:sz w:val="20"/>
          <w:szCs w:val="20"/>
        </w:rPr>
        <w:t>On August 1</w:t>
      </w:r>
      <w:r w:rsidR="00CD55C2">
        <w:rPr>
          <w:bCs/>
          <w:sz w:val="20"/>
          <w:szCs w:val="20"/>
        </w:rPr>
        <w:t>9</w:t>
      </w:r>
      <w:r>
        <w:rPr>
          <w:bCs/>
          <w:sz w:val="20"/>
          <w:szCs w:val="20"/>
        </w:rPr>
        <w:t xml:space="preserve">, 2021, we issued a press release reporting </w:t>
      </w:r>
      <w:r w:rsidR="00BB7014">
        <w:rPr>
          <w:sz w:val="20"/>
          <w:szCs w:val="20"/>
        </w:rPr>
        <w:t xml:space="preserve">the </w:t>
      </w:r>
      <w:r w:rsidR="00BB7014" w:rsidRPr="00BB7014">
        <w:rPr>
          <w:sz w:val="20"/>
          <w:szCs w:val="20"/>
        </w:rPr>
        <w:t>present</w:t>
      </w:r>
      <w:r w:rsidR="00BB7014">
        <w:rPr>
          <w:sz w:val="20"/>
          <w:szCs w:val="20"/>
        </w:rPr>
        <w:t>ation of</w:t>
      </w:r>
      <w:r w:rsidR="00BB7014" w:rsidRPr="00BB7014">
        <w:rPr>
          <w:sz w:val="20"/>
          <w:szCs w:val="20"/>
        </w:rPr>
        <w:t xml:space="preserve"> data from ongoing studies of </w:t>
      </w:r>
      <w:r w:rsidR="00BB7014">
        <w:rPr>
          <w:sz w:val="20"/>
          <w:szCs w:val="20"/>
        </w:rPr>
        <w:t>our</w:t>
      </w:r>
      <w:r w:rsidR="00BB7014" w:rsidRPr="00BB7014">
        <w:rPr>
          <w:sz w:val="20"/>
          <w:szCs w:val="20"/>
        </w:rPr>
        <w:t xml:space="preserve"> preventive vaccine against COVID-19. The presentation titled, “Design of a Universal SARS-CoV-2 Vaccine Against Evolving Variants,” was delivered virtually by Mark J. Newman, Ph.D., </w:t>
      </w:r>
      <w:proofErr w:type="spellStart"/>
      <w:r w:rsidR="00BB7014" w:rsidRPr="00BB7014">
        <w:rPr>
          <w:sz w:val="20"/>
          <w:szCs w:val="20"/>
        </w:rPr>
        <w:t>GeoVax’s</w:t>
      </w:r>
      <w:proofErr w:type="spellEnd"/>
      <w:r w:rsidR="00BB7014" w:rsidRPr="00BB7014">
        <w:rPr>
          <w:sz w:val="20"/>
          <w:szCs w:val="20"/>
        </w:rPr>
        <w:t xml:space="preserve"> Chief Scientific Officer, during the European Society of Medicine (ESMED) General Assembly, being held August 19-21 in Berlin, Germany.</w:t>
      </w:r>
      <w:r w:rsidR="00BB7014">
        <w:rPr>
          <w:sz w:val="20"/>
          <w:szCs w:val="20"/>
        </w:rPr>
        <w:t xml:space="preserve"> </w:t>
      </w:r>
    </w:p>
    <w:p w14:paraId="251D25E0" w14:textId="77777777" w:rsidR="00F100FC" w:rsidRDefault="00F100FC" w:rsidP="00BB7014">
      <w:pPr>
        <w:ind w:left="144" w:right="144"/>
        <w:jc w:val="both"/>
        <w:rPr>
          <w:sz w:val="20"/>
          <w:szCs w:val="20"/>
        </w:rPr>
      </w:pPr>
    </w:p>
    <w:p w14:paraId="6B605045" w14:textId="4C6F4CFD" w:rsidR="00F100FC" w:rsidRDefault="00BB7014" w:rsidP="00F100FC">
      <w:pPr>
        <w:ind w:left="144" w:right="144"/>
        <w:jc w:val="both"/>
        <w:rPr>
          <w:sz w:val="20"/>
          <w:szCs w:val="20"/>
        </w:rPr>
      </w:pPr>
      <w:r>
        <w:rPr>
          <w:sz w:val="20"/>
          <w:szCs w:val="20"/>
        </w:rPr>
        <w:t>A copy of the press release is attached to this Current Report</w:t>
      </w:r>
      <w:r>
        <w:rPr>
          <w:bCs/>
          <w:sz w:val="20"/>
          <w:szCs w:val="20"/>
        </w:rPr>
        <w:t>.</w:t>
      </w:r>
      <w:r>
        <w:rPr>
          <w:sz w:val="20"/>
          <w:szCs w:val="20"/>
        </w:rPr>
        <w:t xml:space="preserve"> </w:t>
      </w:r>
      <w:r w:rsidR="00F100FC" w:rsidRPr="00F100FC">
        <w:rPr>
          <w:sz w:val="20"/>
          <w:szCs w:val="20"/>
        </w:rPr>
        <w:t xml:space="preserve">Dr. Newman’s </w:t>
      </w:r>
      <w:r w:rsidR="00F100FC">
        <w:rPr>
          <w:sz w:val="20"/>
          <w:szCs w:val="20"/>
        </w:rPr>
        <w:t xml:space="preserve">full </w:t>
      </w:r>
      <w:r w:rsidR="00F100FC" w:rsidRPr="00F100FC">
        <w:rPr>
          <w:sz w:val="20"/>
          <w:szCs w:val="20"/>
        </w:rPr>
        <w:t xml:space="preserve">presentation is available on </w:t>
      </w:r>
      <w:proofErr w:type="spellStart"/>
      <w:r w:rsidR="00F100FC" w:rsidRPr="00F100FC">
        <w:rPr>
          <w:sz w:val="20"/>
          <w:szCs w:val="20"/>
        </w:rPr>
        <w:t>GeoVax’s</w:t>
      </w:r>
      <w:proofErr w:type="spellEnd"/>
      <w:r w:rsidR="00F100FC" w:rsidRPr="00F100FC">
        <w:rPr>
          <w:sz w:val="20"/>
          <w:szCs w:val="20"/>
        </w:rPr>
        <w:t xml:space="preserve"> website </w:t>
      </w:r>
      <w:r w:rsidR="00F100FC">
        <w:rPr>
          <w:sz w:val="20"/>
          <w:szCs w:val="20"/>
        </w:rPr>
        <w:t xml:space="preserve">at </w:t>
      </w:r>
      <w:hyperlink r:id="rId7" w:history="1">
        <w:r w:rsidR="00F100FC" w:rsidRPr="00BD21BF">
          <w:rPr>
            <w:rStyle w:val="Hyperlink"/>
            <w:sz w:val="20"/>
            <w:szCs w:val="20"/>
          </w:rPr>
          <w:t>www.geovax.com/events</w:t>
        </w:r>
      </w:hyperlink>
      <w:r w:rsidR="00F100FC">
        <w:rPr>
          <w:sz w:val="20"/>
          <w:szCs w:val="20"/>
        </w:rPr>
        <w:t>.</w:t>
      </w: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7A7A669D" w:rsidR="008D7E3A" w:rsidRDefault="008D7E3A">
            <w:pPr>
              <w:rPr>
                <w:sz w:val="20"/>
                <w:szCs w:val="20"/>
              </w:rPr>
            </w:pPr>
            <w:r>
              <w:rPr>
                <w:sz w:val="20"/>
                <w:szCs w:val="20"/>
              </w:rPr>
              <w:t>Press release dated August 1</w:t>
            </w:r>
            <w:r w:rsidR="00CD55C2">
              <w:rPr>
                <w:sz w:val="20"/>
                <w:szCs w:val="20"/>
              </w:rPr>
              <w:t>9</w:t>
            </w:r>
            <w:r>
              <w:rPr>
                <w:sz w:val="20"/>
                <w:szCs w:val="20"/>
              </w:rPr>
              <w:t>, 2021</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7F943D3B" w14:textId="665FDD3E" w:rsidR="008D7E3A" w:rsidRDefault="008D7E3A" w:rsidP="008D7E3A">
      <w:pPr>
        <w:ind w:left="144" w:right="144"/>
        <w:jc w:val="center"/>
        <w:rPr>
          <w:sz w:val="20"/>
          <w:szCs w:val="20"/>
        </w:rPr>
      </w:pPr>
      <w:r>
        <w:rPr>
          <w:b/>
          <w:bCs/>
          <w:sz w:val="20"/>
          <w:szCs w:val="20"/>
        </w:rPr>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6F31C03C" w:rsidR="008D7E3A" w:rsidRDefault="008D7E3A" w:rsidP="008D7E3A">
      <w:pPr>
        <w:ind w:left="144" w:right="144"/>
        <w:rPr>
          <w:sz w:val="20"/>
          <w:szCs w:val="20"/>
        </w:rPr>
      </w:pPr>
      <w:r>
        <w:rPr>
          <w:sz w:val="20"/>
          <w:szCs w:val="20"/>
        </w:rPr>
        <w:t xml:space="preserve">Date: August </w:t>
      </w:r>
      <w:r w:rsidR="00CD55C2">
        <w:rPr>
          <w:sz w:val="20"/>
          <w:szCs w:val="20"/>
        </w:rPr>
        <w:t>20</w:t>
      </w:r>
      <w:r>
        <w:rPr>
          <w:sz w:val="20"/>
          <w:szCs w:val="20"/>
        </w:rPr>
        <w:t>, 2021</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3B0FB4C8" w14:textId="77777777" w:rsidR="00A75747" w:rsidRDefault="00A75747" w:rsidP="008D7E3A">
      <w:pPr>
        <w:sectPr w:rsidR="00A75747">
          <w:footerReference w:type="default" r:id="rId8"/>
          <w:pgSz w:w="12240" w:h="15840"/>
          <w:pgMar w:top="576" w:right="720" w:bottom="576" w:left="720" w:header="144" w:footer="432" w:gutter="0"/>
          <w:cols w:space="720"/>
        </w:sectPr>
      </w:pPr>
    </w:p>
    <w:p w14:paraId="137CDCF9" w14:textId="5E633F6E" w:rsidR="00A75747" w:rsidRDefault="00E22AE9" w:rsidP="00A75747">
      <w:pPr>
        <w:rPr>
          <w:b/>
          <w:color w:val="000000" w:themeColor="text1"/>
          <w:sz w:val="22"/>
          <w:szCs w:val="22"/>
        </w:rPr>
      </w:pPr>
      <w:r>
        <w:rPr>
          <w:b/>
          <w:noProof/>
          <w:color w:val="000000" w:themeColor="text1"/>
          <w:sz w:val="22"/>
          <w:szCs w:val="22"/>
        </w:rPr>
        <w:lastRenderedPageBreak/>
        <mc:AlternateContent>
          <mc:Choice Requires="wps">
            <w:drawing>
              <wp:anchor distT="0" distB="0" distL="114300" distR="114300" simplePos="0" relativeHeight="251659264" behindDoc="0" locked="0" layoutInCell="1" allowOverlap="1" wp14:anchorId="2085428B" wp14:editId="29688784">
                <wp:simplePos x="0" y="0"/>
                <wp:positionH relativeFrom="column">
                  <wp:posOffset>5113020</wp:posOffset>
                </wp:positionH>
                <wp:positionV relativeFrom="paragraph">
                  <wp:posOffset>-168275</wp:posOffset>
                </wp:positionV>
                <wp:extent cx="1943100" cy="295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943100" cy="295275"/>
                        </a:xfrm>
                        <a:prstGeom prst="rect">
                          <a:avLst/>
                        </a:prstGeom>
                        <a:noFill/>
                        <a:ln w="6350">
                          <a:noFill/>
                        </a:ln>
                      </wps:spPr>
                      <wps:txbx>
                        <w:txbxContent>
                          <w:p w14:paraId="5CBF8707" w14:textId="46AA3BDC" w:rsidR="00E22AE9" w:rsidRPr="00E22AE9" w:rsidRDefault="00E22AE9">
                            <w:pPr>
                              <w:rPr>
                                <w:b/>
                                <w:bCs/>
                              </w:rPr>
                            </w:pPr>
                            <w:r w:rsidRPr="00E22AE9">
                              <w:rPr>
                                <w:b/>
                                <w:bCs/>
                              </w:rPr>
                              <w:t>Exhibit 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85428B" id="_x0000_t202" coordsize="21600,21600" o:spt="202" path="m,l,21600r21600,l21600,xe">
                <v:stroke joinstyle="miter"/>
                <v:path gradientshapeok="t" o:connecttype="rect"/>
              </v:shapetype>
              <v:shape id="Text Box 2" o:spid="_x0000_s1026" type="#_x0000_t202" style="position:absolute;margin-left:402.6pt;margin-top:-13.25pt;width:153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" filled="f" stroked="f" strokeweight=".5pt">
                <v:textbox>
                  <w:txbxContent>
                    <w:p w14:paraId="5CBF8707" w14:textId="46AA3BDC" w:rsidR="00E22AE9" w:rsidRPr="00E22AE9" w:rsidRDefault="00E22AE9">
                      <w:pPr>
                        <w:rPr>
                          <w:b/>
                          <w:bCs/>
                        </w:rPr>
                      </w:pPr>
                      <w:r w:rsidRPr="00E22AE9">
                        <w:rPr>
                          <w:b/>
                          <w:bCs/>
                        </w:rPr>
                        <w:t>Exhibit 99.1</w:t>
                      </w:r>
                    </w:p>
                  </w:txbxContent>
                </v:textbox>
              </v:shape>
            </w:pict>
          </mc:Fallback>
        </mc:AlternateContent>
      </w:r>
    </w:p>
    <w:p w14:paraId="3835ED16" w14:textId="77777777" w:rsidR="00A75747" w:rsidRPr="003C6B17" w:rsidRDefault="00A75747" w:rsidP="00A75747">
      <w:pPr>
        <w:jc w:val="center"/>
        <w:rPr>
          <w:b/>
          <w:color w:val="000000" w:themeColor="text1"/>
          <w:sz w:val="36"/>
          <w:szCs w:val="36"/>
        </w:rPr>
      </w:pPr>
      <w:r w:rsidRPr="00166869">
        <w:rPr>
          <w:b/>
          <w:color w:val="000000" w:themeColor="text1"/>
          <w:sz w:val="36"/>
          <w:szCs w:val="36"/>
        </w:rPr>
        <w:t xml:space="preserve">GeoVax </w:t>
      </w:r>
      <w:r>
        <w:rPr>
          <w:b/>
          <w:color w:val="000000" w:themeColor="text1"/>
          <w:sz w:val="36"/>
          <w:szCs w:val="36"/>
        </w:rPr>
        <w:t>Presents COVID-19 Vaccine Data at the European Society of Medicine (ESMED) General Assembly</w:t>
      </w:r>
    </w:p>
    <w:p w14:paraId="07D53A6A" w14:textId="77777777" w:rsidR="00A75747" w:rsidRDefault="00A75747" w:rsidP="00A75747">
      <w:pPr>
        <w:jc w:val="center"/>
        <w:rPr>
          <w:b/>
          <w:i/>
          <w:iCs/>
          <w:color w:val="000000" w:themeColor="text1"/>
          <w:sz w:val="28"/>
          <w:szCs w:val="28"/>
        </w:rPr>
      </w:pPr>
    </w:p>
    <w:p w14:paraId="1A2EAAAF" w14:textId="77777777" w:rsidR="00A75747" w:rsidRDefault="00A75747" w:rsidP="00A75747">
      <w:pPr>
        <w:jc w:val="center"/>
        <w:rPr>
          <w:b/>
          <w:i/>
          <w:iCs/>
          <w:color w:val="000000" w:themeColor="text1"/>
          <w:sz w:val="28"/>
          <w:szCs w:val="28"/>
        </w:rPr>
      </w:pPr>
      <w:r>
        <w:rPr>
          <w:b/>
          <w:i/>
          <w:iCs/>
          <w:color w:val="000000" w:themeColor="text1"/>
          <w:sz w:val="28"/>
          <w:szCs w:val="28"/>
        </w:rPr>
        <w:t xml:space="preserve">GeoVax Vaccine Being Developed as a Universal Vaccine to </w:t>
      </w:r>
    </w:p>
    <w:p w14:paraId="0B56BB91" w14:textId="77777777" w:rsidR="00A75747" w:rsidRDefault="00A75747" w:rsidP="00A75747">
      <w:pPr>
        <w:jc w:val="center"/>
        <w:rPr>
          <w:b/>
          <w:i/>
          <w:iCs/>
          <w:color w:val="000000" w:themeColor="text1"/>
          <w:sz w:val="28"/>
          <w:szCs w:val="28"/>
        </w:rPr>
      </w:pPr>
      <w:r>
        <w:rPr>
          <w:b/>
          <w:i/>
          <w:iCs/>
          <w:color w:val="000000" w:themeColor="text1"/>
          <w:sz w:val="28"/>
          <w:szCs w:val="28"/>
        </w:rPr>
        <w:t>Address Evolving SARS-CoV-2 Variants</w:t>
      </w:r>
    </w:p>
    <w:p w14:paraId="196661CD" w14:textId="77777777" w:rsidR="00A75747" w:rsidRPr="003C6B17" w:rsidRDefault="00A75747" w:rsidP="00A75747">
      <w:pPr>
        <w:jc w:val="center"/>
        <w:rPr>
          <w:b/>
          <w:i/>
          <w:iCs/>
          <w:color w:val="000000" w:themeColor="text1"/>
          <w:sz w:val="28"/>
          <w:szCs w:val="28"/>
        </w:rPr>
      </w:pPr>
    </w:p>
    <w:p w14:paraId="07C2AAD3" w14:textId="77777777" w:rsidR="00A75747" w:rsidRPr="00835361" w:rsidRDefault="00A75747" w:rsidP="00A75747">
      <w:pPr>
        <w:suppressLineNumbers/>
        <w:jc w:val="both"/>
        <w:rPr>
          <w:bCs/>
          <w:color w:val="000000" w:themeColor="text1"/>
          <w:sz w:val="22"/>
          <w:szCs w:val="22"/>
        </w:rPr>
      </w:pPr>
      <w:r w:rsidRPr="00AA756A">
        <w:rPr>
          <w:b/>
          <w:color w:val="000000" w:themeColor="text1"/>
          <w:sz w:val="22"/>
          <w:szCs w:val="22"/>
        </w:rPr>
        <w:t xml:space="preserve">ATLANTA, GA, </w:t>
      </w:r>
      <w:r>
        <w:rPr>
          <w:b/>
          <w:color w:val="000000" w:themeColor="text1"/>
          <w:sz w:val="22"/>
          <w:szCs w:val="22"/>
        </w:rPr>
        <w:t>August</w:t>
      </w:r>
      <w:r w:rsidRPr="00AA756A">
        <w:rPr>
          <w:b/>
          <w:color w:val="000000" w:themeColor="text1"/>
          <w:sz w:val="22"/>
          <w:szCs w:val="22"/>
        </w:rPr>
        <w:t xml:space="preserve"> </w:t>
      </w:r>
      <w:r>
        <w:rPr>
          <w:b/>
          <w:color w:val="000000" w:themeColor="text1"/>
          <w:sz w:val="22"/>
          <w:szCs w:val="22"/>
        </w:rPr>
        <w:t>19</w:t>
      </w:r>
      <w:r w:rsidRPr="00AA756A">
        <w:rPr>
          <w:b/>
          <w:color w:val="000000" w:themeColor="text1"/>
          <w:sz w:val="22"/>
          <w:szCs w:val="22"/>
        </w:rPr>
        <w:t>, 2021</w:t>
      </w:r>
      <w:r w:rsidRPr="00AA756A">
        <w:rPr>
          <w:bCs/>
          <w:color w:val="000000" w:themeColor="text1"/>
          <w:sz w:val="22"/>
          <w:szCs w:val="22"/>
        </w:rPr>
        <w:t xml:space="preserve"> – GeoVax Labs, Inc. (Nasdaq: GOVX), a biotechnology company specializing in developing human vaccines</w:t>
      </w:r>
      <w:r>
        <w:rPr>
          <w:bCs/>
          <w:color w:val="000000" w:themeColor="text1"/>
          <w:sz w:val="22"/>
          <w:szCs w:val="22"/>
        </w:rPr>
        <w:t xml:space="preserve"> and cancer immunotherapies</w:t>
      </w:r>
      <w:r w:rsidRPr="00AA756A">
        <w:rPr>
          <w:bCs/>
          <w:color w:val="000000" w:themeColor="text1"/>
          <w:sz w:val="22"/>
          <w:szCs w:val="22"/>
        </w:rPr>
        <w:t xml:space="preserve">, </w:t>
      </w:r>
      <w:r>
        <w:rPr>
          <w:bCs/>
          <w:color w:val="000000" w:themeColor="text1"/>
          <w:sz w:val="22"/>
          <w:szCs w:val="22"/>
        </w:rPr>
        <w:t>today presented data from ongoing studies of its preventive vaccine against COVID-19. The presentation titled, “</w:t>
      </w:r>
      <w:r w:rsidRPr="00D44184">
        <w:rPr>
          <w:bCs/>
          <w:sz w:val="22"/>
          <w:szCs w:val="22"/>
        </w:rPr>
        <w:t>Design of a Universal SARS-CoV-2 Vaccine Against Evolving Variants</w:t>
      </w:r>
      <w:r>
        <w:rPr>
          <w:bCs/>
          <w:sz w:val="22"/>
          <w:szCs w:val="22"/>
        </w:rPr>
        <w:t>,</w:t>
      </w:r>
      <w:r w:rsidRPr="00D44184">
        <w:rPr>
          <w:bCs/>
          <w:sz w:val="22"/>
          <w:szCs w:val="22"/>
        </w:rPr>
        <w:t>”</w:t>
      </w:r>
      <w:r w:rsidRPr="00BA4628">
        <w:rPr>
          <w:bCs/>
          <w:sz w:val="22"/>
          <w:szCs w:val="22"/>
        </w:rPr>
        <w:t xml:space="preserve"> </w:t>
      </w:r>
      <w:r>
        <w:rPr>
          <w:bCs/>
          <w:color w:val="000000" w:themeColor="text1"/>
          <w:sz w:val="22"/>
          <w:szCs w:val="22"/>
        </w:rPr>
        <w:t xml:space="preserve">was delivered virtually by Mark J. Newman, Ph.D., </w:t>
      </w:r>
      <w:proofErr w:type="spellStart"/>
      <w:r>
        <w:rPr>
          <w:bCs/>
          <w:color w:val="000000" w:themeColor="text1"/>
          <w:sz w:val="22"/>
          <w:szCs w:val="22"/>
        </w:rPr>
        <w:t>GeoVax’s</w:t>
      </w:r>
      <w:proofErr w:type="spellEnd"/>
      <w:r>
        <w:rPr>
          <w:bCs/>
          <w:color w:val="000000" w:themeColor="text1"/>
          <w:sz w:val="22"/>
          <w:szCs w:val="22"/>
        </w:rPr>
        <w:t xml:space="preserve"> Chief Scientific Officer</w:t>
      </w:r>
      <w:r w:rsidRPr="00AA756A">
        <w:rPr>
          <w:bCs/>
          <w:color w:val="000000" w:themeColor="text1"/>
          <w:sz w:val="22"/>
          <w:szCs w:val="22"/>
        </w:rPr>
        <w:t xml:space="preserve">, </w:t>
      </w:r>
      <w:r>
        <w:rPr>
          <w:bCs/>
          <w:color w:val="000000" w:themeColor="text1"/>
          <w:sz w:val="22"/>
          <w:szCs w:val="22"/>
        </w:rPr>
        <w:t xml:space="preserve">during the European Society of Medicine (ESMED) General Assembly, </w:t>
      </w:r>
      <w:r w:rsidRPr="00AA756A">
        <w:rPr>
          <w:bCs/>
          <w:color w:val="000000" w:themeColor="text1"/>
          <w:sz w:val="22"/>
          <w:szCs w:val="22"/>
        </w:rPr>
        <w:t>being held</w:t>
      </w:r>
      <w:r>
        <w:rPr>
          <w:bCs/>
          <w:color w:val="000000" w:themeColor="text1"/>
          <w:sz w:val="22"/>
          <w:szCs w:val="22"/>
        </w:rPr>
        <w:t xml:space="preserve"> August 19-21 in Berlin, Germany</w:t>
      </w:r>
      <w:r w:rsidRPr="00AA756A">
        <w:rPr>
          <w:bCs/>
          <w:color w:val="000000" w:themeColor="text1"/>
          <w:sz w:val="22"/>
          <w:szCs w:val="22"/>
        </w:rPr>
        <w:t>.</w:t>
      </w:r>
    </w:p>
    <w:p w14:paraId="522020B7" w14:textId="77777777" w:rsidR="00A75747" w:rsidRPr="00C64D67" w:rsidRDefault="00A75747" w:rsidP="00A75747">
      <w:pPr>
        <w:jc w:val="both"/>
        <w:rPr>
          <w:bCs/>
          <w:color w:val="000000" w:themeColor="text1"/>
          <w:sz w:val="22"/>
          <w:szCs w:val="22"/>
        </w:rPr>
      </w:pPr>
    </w:p>
    <w:p w14:paraId="3593F1EF" w14:textId="77777777" w:rsidR="00A75747" w:rsidRDefault="00A75747" w:rsidP="00A75747">
      <w:pPr>
        <w:pStyle w:val="p1"/>
        <w:jc w:val="both"/>
        <w:rPr>
          <w:rFonts w:ascii="Times New Roman" w:hAnsi="Times New Roman"/>
          <w:sz w:val="22"/>
        </w:rPr>
      </w:pPr>
      <w:r w:rsidRPr="00AC1D3E">
        <w:rPr>
          <w:rFonts w:ascii="Times New Roman" w:hAnsi="Times New Roman"/>
          <w:sz w:val="22"/>
        </w:rPr>
        <w:t>First-generation SARS-CoV-2 vaccines were rapidly developed and have proven highly efficacious in the human population</w:t>
      </w:r>
      <w:r>
        <w:rPr>
          <w:rFonts w:ascii="Times New Roman" w:hAnsi="Times New Roman"/>
          <w:sz w:val="22"/>
        </w:rPr>
        <w:t xml:space="preserve"> and </w:t>
      </w:r>
      <w:r w:rsidRPr="00AC1D3E">
        <w:rPr>
          <w:rFonts w:ascii="Times New Roman" w:hAnsi="Times New Roman"/>
          <w:sz w:val="22"/>
        </w:rPr>
        <w:t>were designed to encode the prefusion stabilized Spike protein</w:t>
      </w:r>
      <w:r>
        <w:rPr>
          <w:rFonts w:ascii="Times New Roman" w:hAnsi="Times New Roman"/>
          <w:sz w:val="22"/>
        </w:rPr>
        <w:t xml:space="preserve"> (S)</w:t>
      </w:r>
      <w:r w:rsidRPr="00AC1D3E">
        <w:rPr>
          <w:rFonts w:ascii="Times New Roman" w:hAnsi="Times New Roman"/>
          <w:sz w:val="22"/>
        </w:rPr>
        <w:t xml:space="preserve"> with the goal of inducing high levels of neutralizing antibodies.  However, potential limitations of narrowly focusing on S are becoming apparent with emerging variants that partially escape neutralization by vaccine induced antibodies. Thus, the effectiveness of these vaccines against new SARS-CoV-2 variants and future coronavirus spillover events remain</w:t>
      </w:r>
      <w:r>
        <w:rPr>
          <w:rFonts w:ascii="Times New Roman" w:hAnsi="Times New Roman"/>
          <w:sz w:val="22"/>
        </w:rPr>
        <w:t>s</w:t>
      </w:r>
      <w:r w:rsidRPr="00AC1D3E">
        <w:rPr>
          <w:rFonts w:ascii="Times New Roman" w:hAnsi="Times New Roman"/>
          <w:sz w:val="22"/>
        </w:rPr>
        <w:t xml:space="preserve"> in question.  </w:t>
      </w:r>
    </w:p>
    <w:p w14:paraId="07B5356B" w14:textId="77777777" w:rsidR="00A75747" w:rsidRDefault="00A75747" w:rsidP="00A75747">
      <w:pPr>
        <w:pStyle w:val="p1"/>
        <w:jc w:val="both"/>
        <w:rPr>
          <w:rFonts w:ascii="Times New Roman" w:hAnsi="Times New Roman"/>
          <w:sz w:val="22"/>
        </w:rPr>
      </w:pPr>
    </w:p>
    <w:p w14:paraId="4DCF0A4F" w14:textId="77777777" w:rsidR="00A75747" w:rsidRDefault="00A75747" w:rsidP="00A75747">
      <w:pPr>
        <w:pStyle w:val="p1"/>
        <w:jc w:val="both"/>
        <w:rPr>
          <w:rFonts w:ascii="Times New Roman" w:hAnsi="Times New Roman"/>
          <w:sz w:val="22"/>
        </w:rPr>
      </w:pPr>
      <w:r w:rsidRPr="00AC1D3E">
        <w:rPr>
          <w:rFonts w:ascii="Times New Roman" w:hAnsi="Times New Roman"/>
          <w:sz w:val="22"/>
        </w:rPr>
        <w:t xml:space="preserve">Using </w:t>
      </w:r>
      <w:r>
        <w:rPr>
          <w:rFonts w:ascii="Times New Roman" w:hAnsi="Times New Roman"/>
          <w:sz w:val="22"/>
        </w:rPr>
        <w:t>its</w:t>
      </w:r>
      <w:r w:rsidRPr="00AC1D3E">
        <w:rPr>
          <w:rFonts w:ascii="Times New Roman" w:hAnsi="Times New Roman"/>
          <w:sz w:val="22"/>
        </w:rPr>
        <w:t xml:space="preserve"> novel Modified Virus Ankara - Virus Like Particle (</w:t>
      </w:r>
      <w:r>
        <w:rPr>
          <w:rFonts w:ascii="Times New Roman" w:hAnsi="Times New Roman"/>
          <w:sz w:val="22"/>
        </w:rPr>
        <w:t>GV-</w:t>
      </w:r>
      <w:r w:rsidRPr="00AC1D3E">
        <w:rPr>
          <w:rFonts w:ascii="Times New Roman" w:hAnsi="Times New Roman"/>
          <w:sz w:val="22"/>
        </w:rPr>
        <w:t>MVA-VLP</w:t>
      </w:r>
      <w:r w:rsidRPr="00CE4254">
        <w:rPr>
          <w:rFonts w:ascii="Times New Roman" w:hAnsi="Times New Roman"/>
          <w:sz w:val="22"/>
          <w:vertAlign w:val="superscript"/>
        </w:rPr>
        <w:t>TM</w:t>
      </w:r>
      <w:r w:rsidRPr="00AC1D3E">
        <w:rPr>
          <w:rFonts w:ascii="Times New Roman" w:hAnsi="Times New Roman"/>
          <w:sz w:val="22"/>
        </w:rPr>
        <w:t xml:space="preserve">) platform, GeoVax has developed a design strategy for vaccines </w:t>
      </w:r>
      <w:r>
        <w:rPr>
          <w:rFonts w:ascii="Times New Roman" w:hAnsi="Times New Roman"/>
          <w:sz w:val="22"/>
        </w:rPr>
        <w:t>expected to induce</w:t>
      </w:r>
      <w:r w:rsidRPr="00AC1D3E">
        <w:rPr>
          <w:rFonts w:ascii="Times New Roman" w:hAnsi="Times New Roman"/>
          <w:sz w:val="22"/>
        </w:rPr>
        <w:t xml:space="preserve"> broader immunity through inclusion of multiple structural and nonstructural proteins from the target pathogen.  The </w:t>
      </w:r>
      <w:r>
        <w:rPr>
          <w:rFonts w:ascii="Times New Roman" w:hAnsi="Times New Roman"/>
          <w:sz w:val="22"/>
        </w:rPr>
        <w:t>GV-</w:t>
      </w:r>
      <w:r w:rsidRPr="00AC1D3E">
        <w:rPr>
          <w:rFonts w:ascii="Times New Roman" w:hAnsi="Times New Roman"/>
          <w:sz w:val="22"/>
        </w:rPr>
        <w:t>MVA-VLP</w:t>
      </w:r>
      <w:r w:rsidRPr="00CE4254">
        <w:rPr>
          <w:rFonts w:ascii="Times New Roman" w:hAnsi="Times New Roman"/>
          <w:sz w:val="22"/>
          <w:vertAlign w:val="superscript"/>
        </w:rPr>
        <w:t>TM</w:t>
      </w:r>
      <w:r w:rsidRPr="00AC1D3E">
        <w:rPr>
          <w:rFonts w:ascii="Times New Roman" w:hAnsi="Times New Roman"/>
          <w:sz w:val="22"/>
        </w:rPr>
        <w:t xml:space="preserve"> platform is known to elicit a balanced humoral</w:t>
      </w:r>
      <w:r>
        <w:rPr>
          <w:rFonts w:ascii="Times New Roman" w:hAnsi="Times New Roman"/>
          <w:sz w:val="22"/>
        </w:rPr>
        <w:t xml:space="preserve"> (antibody)</w:t>
      </w:r>
      <w:r w:rsidRPr="00AC1D3E">
        <w:rPr>
          <w:rFonts w:ascii="Times New Roman" w:hAnsi="Times New Roman"/>
          <w:sz w:val="22"/>
        </w:rPr>
        <w:t xml:space="preserve"> and cellular response against a range of immunogens</w:t>
      </w:r>
      <w:r>
        <w:rPr>
          <w:rFonts w:ascii="Times New Roman" w:hAnsi="Times New Roman"/>
          <w:sz w:val="22"/>
        </w:rPr>
        <w:t>, possibly</w:t>
      </w:r>
      <w:r w:rsidRPr="00AC1D3E">
        <w:rPr>
          <w:rFonts w:ascii="Times New Roman" w:hAnsi="Times New Roman"/>
          <w:sz w:val="22"/>
        </w:rPr>
        <w:t xml:space="preserve"> making immune escape against emerging variants less likely. Expression of the SARS-CoV-2 spike, membrane and envelope proteins by MVA supports the </w:t>
      </w:r>
      <w:r w:rsidRPr="00D44184">
        <w:rPr>
          <w:rFonts w:ascii="Times New Roman" w:hAnsi="Times New Roman"/>
          <w:i/>
          <w:iCs/>
          <w:sz w:val="22"/>
        </w:rPr>
        <w:t>in vivo</w:t>
      </w:r>
      <w:r w:rsidRPr="00AC1D3E">
        <w:rPr>
          <w:rFonts w:ascii="Times New Roman" w:hAnsi="Times New Roman"/>
          <w:sz w:val="22"/>
        </w:rPr>
        <w:t xml:space="preserve"> formation of </w:t>
      </w:r>
      <w:r>
        <w:rPr>
          <w:rFonts w:ascii="Times New Roman" w:hAnsi="Times New Roman"/>
          <w:sz w:val="22"/>
        </w:rPr>
        <w:t xml:space="preserve">virus like particles, or </w:t>
      </w:r>
      <w:r w:rsidRPr="00AC1D3E">
        <w:rPr>
          <w:rFonts w:ascii="Times New Roman" w:hAnsi="Times New Roman"/>
          <w:sz w:val="22"/>
        </w:rPr>
        <w:t>VLP</w:t>
      </w:r>
      <w:r>
        <w:rPr>
          <w:rFonts w:ascii="Times New Roman" w:hAnsi="Times New Roman"/>
          <w:sz w:val="22"/>
        </w:rPr>
        <w:t>s,</w:t>
      </w:r>
      <w:r w:rsidRPr="00AC1D3E">
        <w:rPr>
          <w:rFonts w:ascii="Times New Roman" w:hAnsi="Times New Roman"/>
          <w:sz w:val="22"/>
        </w:rPr>
        <w:t xml:space="preserve"> which induce both antibody and T-cell responses. Incorporation of sequence</w:t>
      </w:r>
      <w:r>
        <w:rPr>
          <w:rFonts w:ascii="Times New Roman" w:hAnsi="Times New Roman"/>
          <w:sz w:val="22"/>
        </w:rPr>
        <w:t>-</w:t>
      </w:r>
      <w:r w:rsidRPr="00AC1D3E">
        <w:rPr>
          <w:rFonts w:ascii="Times New Roman" w:hAnsi="Times New Roman"/>
          <w:sz w:val="22"/>
        </w:rPr>
        <w:t xml:space="preserve">conserved nonstructural proteins can provide targets for T-cell responses to increase the breadth and function of vaccine-induced immune responses. This strategy provides the basis for </w:t>
      </w:r>
      <w:r>
        <w:rPr>
          <w:rFonts w:ascii="Times New Roman" w:hAnsi="Times New Roman"/>
          <w:sz w:val="22"/>
        </w:rPr>
        <w:t>generating</w:t>
      </w:r>
      <w:r w:rsidRPr="00AC1D3E">
        <w:rPr>
          <w:rFonts w:ascii="Times New Roman" w:hAnsi="Times New Roman"/>
          <w:sz w:val="22"/>
        </w:rPr>
        <w:t xml:space="preserve"> a univer</w:t>
      </w:r>
      <w:r>
        <w:rPr>
          <w:rFonts w:ascii="Times New Roman" w:hAnsi="Times New Roman"/>
          <w:sz w:val="22"/>
        </w:rPr>
        <w:t>sal vaccine</w:t>
      </w:r>
      <w:r w:rsidRPr="00AC1D3E">
        <w:rPr>
          <w:rFonts w:ascii="Times New Roman" w:hAnsi="Times New Roman"/>
          <w:sz w:val="22"/>
        </w:rPr>
        <w:t xml:space="preserve"> with augmented potential to alleviate the burden of disease caused by circulating coronaviruses.</w:t>
      </w:r>
    </w:p>
    <w:p w14:paraId="1ACB5AA2" w14:textId="77777777" w:rsidR="00A75747" w:rsidRDefault="00A75747" w:rsidP="00A75747">
      <w:pPr>
        <w:pStyle w:val="p1"/>
        <w:jc w:val="both"/>
        <w:rPr>
          <w:rFonts w:ascii="Times New Roman" w:hAnsi="Times New Roman"/>
          <w:sz w:val="22"/>
        </w:rPr>
      </w:pPr>
    </w:p>
    <w:p w14:paraId="42A40BD9" w14:textId="77777777" w:rsidR="001C46AC" w:rsidRPr="003D07C0" w:rsidRDefault="001C46AC" w:rsidP="001C46AC">
      <w:pPr>
        <w:pStyle w:val="p1"/>
        <w:jc w:val="both"/>
        <w:rPr>
          <w:rFonts w:ascii="Times New Roman" w:hAnsi="Times New Roman" w:cs="Times New Roman"/>
          <w:sz w:val="22"/>
          <w:szCs w:val="22"/>
          <w:lang w:val="en-GB"/>
        </w:rPr>
      </w:pPr>
      <w:r w:rsidRPr="00B55D01">
        <w:rPr>
          <w:rFonts w:ascii="Times New Roman" w:hAnsi="Times New Roman" w:cs="Times New Roman"/>
          <w:sz w:val="22"/>
          <w:szCs w:val="22"/>
          <w:lang w:val="en-GB"/>
        </w:rPr>
        <w:t xml:space="preserve">In </w:t>
      </w:r>
      <w:r>
        <w:rPr>
          <w:rFonts w:ascii="Times New Roman" w:hAnsi="Times New Roman" w:cs="Times New Roman"/>
          <w:sz w:val="22"/>
          <w:szCs w:val="22"/>
          <w:lang w:val="en-GB"/>
        </w:rPr>
        <w:t>his</w:t>
      </w:r>
      <w:r w:rsidRPr="00B55D01">
        <w:rPr>
          <w:rFonts w:ascii="Times New Roman" w:hAnsi="Times New Roman" w:cs="Times New Roman"/>
          <w:sz w:val="22"/>
          <w:szCs w:val="22"/>
          <w:lang w:val="en-GB"/>
        </w:rPr>
        <w:t xml:space="preserve"> talk, </w:t>
      </w:r>
      <w:proofErr w:type="spellStart"/>
      <w:r w:rsidRPr="00B55D01">
        <w:rPr>
          <w:rFonts w:ascii="Times New Roman" w:hAnsi="Times New Roman" w:cs="Times New Roman"/>
          <w:sz w:val="22"/>
          <w:szCs w:val="22"/>
          <w:lang w:val="en-GB"/>
        </w:rPr>
        <w:t>Dr.</w:t>
      </w:r>
      <w:proofErr w:type="spellEnd"/>
      <w:r w:rsidRPr="00B55D01">
        <w:rPr>
          <w:rFonts w:ascii="Times New Roman" w:hAnsi="Times New Roman" w:cs="Times New Roman"/>
          <w:sz w:val="22"/>
          <w:szCs w:val="22"/>
          <w:lang w:val="en-GB"/>
        </w:rPr>
        <w:t xml:space="preserve"> </w:t>
      </w:r>
      <w:r>
        <w:rPr>
          <w:rFonts w:ascii="Times New Roman" w:hAnsi="Times New Roman" w:cs="Times New Roman"/>
          <w:sz w:val="22"/>
          <w:szCs w:val="22"/>
          <w:lang w:val="en-GB"/>
        </w:rPr>
        <w:t>Newman</w:t>
      </w:r>
      <w:r w:rsidRPr="00B55D01">
        <w:rPr>
          <w:rFonts w:ascii="Times New Roman" w:hAnsi="Times New Roman" w:cs="Times New Roman"/>
          <w:sz w:val="22"/>
          <w:szCs w:val="22"/>
          <w:lang w:val="en-GB"/>
        </w:rPr>
        <w:t xml:space="preserve"> discuss</w:t>
      </w:r>
      <w:r>
        <w:rPr>
          <w:rFonts w:ascii="Times New Roman" w:hAnsi="Times New Roman" w:cs="Times New Roman"/>
          <w:sz w:val="22"/>
          <w:szCs w:val="22"/>
          <w:lang w:val="en-GB"/>
        </w:rPr>
        <w:t xml:space="preserve">ed </w:t>
      </w:r>
      <w:proofErr w:type="spellStart"/>
      <w:r>
        <w:rPr>
          <w:rFonts w:ascii="Times New Roman" w:hAnsi="Times New Roman" w:cs="Times New Roman"/>
          <w:sz w:val="22"/>
          <w:szCs w:val="22"/>
          <w:lang w:val="en-GB"/>
        </w:rPr>
        <w:t>GeoVax’s</w:t>
      </w:r>
      <w:proofErr w:type="spellEnd"/>
      <w:r>
        <w:rPr>
          <w:rFonts w:ascii="Times New Roman" w:hAnsi="Times New Roman" w:cs="Times New Roman"/>
          <w:sz w:val="22"/>
          <w:szCs w:val="22"/>
          <w:lang w:val="en-GB"/>
        </w:rPr>
        <w:t xml:space="preserve"> vaccine design strategy for developing a universal SARS-CoV-2 vaccine and presented stability and protein expression data</w:t>
      </w:r>
      <w:bookmarkStart w:id="0" w:name="_Hlk79650394"/>
      <w:r>
        <w:rPr>
          <w:rFonts w:ascii="Times New Roman" w:hAnsi="Times New Roman" w:cs="Times New Roman"/>
          <w:sz w:val="22"/>
          <w:szCs w:val="22"/>
          <w:lang w:val="en-GB"/>
        </w:rPr>
        <w:t xml:space="preserve"> for the Company’s initial vaccine candidate, GEO-CM02</w:t>
      </w:r>
      <w:bookmarkEnd w:id="0"/>
      <w:r>
        <w:rPr>
          <w:rFonts w:ascii="Times New Roman" w:hAnsi="Times New Roman" w:cs="Times New Roman"/>
          <w:sz w:val="22"/>
          <w:szCs w:val="22"/>
          <w:lang w:val="en-GB"/>
        </w:rPr>
        <w:t xml:space="preserve">, which encodes the Spike (S), Membrane (M) and Envelope (E) proteins.  </w:t>
      </w:r>
      <w:proofErr w:type="spellStart"/>
      <w:r>
        <w:rPr>
          <w:rFonts w:ascii="Times New Roman" w:hAnsi="Times New Roman" w:cs="Times New Roman"/>
          <w:sz w:val="22"/>
          <w:szCs w:val="22"/>
          <w:lang w:val="en-GB"/>
        </w:rPr>
        <w:t>Dr.</w:t>
      </w:r>
      <w:proofErr w:type="spellEnd"/>
      <w:r>
        <w:rPr>
          <w:rFonts w:ascii="Times New Roman" w:hAnsi="Times New Roman" w:cs="Times New Roman"/>
          <w:sz w:val="22"/>
          <w:szCs w:val="22"/>
          <w:lang w:val="en-GB"/>
        </w:rPr>
        <w:t xml:space="preserve"> Newman also presented vaccine efficacy and immunogenicity data for GEO-CM02 from hamster and transgenic mice studies to date.</w:t>
      </w:r>
    </w:p>
    <w:p w14:paraId="2A67531C" w14:textId="77777777" w:rsidR="001C46AC" w:rsidRDefault="001C46AC" w:rsidP="001C46AC">
      <w:pPr>
        <w:pStyle w:val="p1"/>
        <w:jc w:val="both"/>
        <w:rPr>
          <w:rFonts w:ascii="Times New Roman" w:hAnsi="Times New Roman"/>
          <w:sz w:val="22"/>
        </w:rPr>
      </w:pPr>
      <w:r>
        <w:rPr>
          <w:rFonts w:ascii="Times New Roman" w:hAnsi="Times New Roman"/>
          <w:sz w:val="22"/>
        </w:rPr>
        <w:t xml:space="preserve">Dr. Newman’s presentation is available on </w:t>
      </w:r>
      <w:proofErr w:type="spellStart"/>
      <w:r>
        <w:rPr>
          <w:rFonts w:ascii="Times New Roman" w:hAnsi="Times New Roman"/>
          <w:sz w:val="22"/>
        </w:rPr>
        <w:t>GeoVax’s</w:t>
      </w:r>
      <w:proofErr w:type="spellEnd"/>
      <w:r>
        <w:rPr>
          <w:rFonts w:ascii="Times New Roman" w:hAnsi="Times New Roman"/>
          <w:sz w:val="22"/>
        </w:rPr>
        <w:t xml:space="preserve"> website at </w:t>
      </w:r>
      <w:hyperlink r:id="rId9" w:history="1">
        <w:r w:rsidRPr="00933069">
          <w:rPr>
            <w:rStyle w:val="Hyperlink"/>
            <w:rFonts w:ascii="Times New Roman" w:hAnsi="Times New Roman"/>
            <w:sz w:val="22"/>
          </w:rPr>
          <w:t>www.geovax.com/investors/events</w:t>
        </w:r>
      </w:hyperlink>
      <w:r>
        <w:rPr>
          <w:rFonts w:ascii="Times New Roman" w:hAnsi="Times New Roman"/>
          <w:sz w:val="22"/>
        </w:rPr>
        <w:t>.</w:t>
      </w:r>
    </w:p>
    <w:p w14:paraId="18917E32" w14:textId="77777777" w:rsidR="00A75747" w:rsidRDefault="00A75747" w:rsidP="00A75747">
      <w:pPr>
        <w:pStyle w:val="p1"/>
        <w:jc w:val="both"/>
        <w:rPr>
          <w:rFonts w:ascii="Times New Roman" w:hAnsi="Times New Roman"/>
          <w:sz w:val="22"/>
        </w:rPr>
      </w:pPr>
    </w:p>
    <w:p w14:paraId="20A31337" w14:textId="77777777" w:rsidR="00A75747" w:rsidRDefault="00A75747" w:rsidP="00A75747">
      <w:pPr>
        <w:pStyle w:val="p1"/>
        <w:jc w:val="both"/>
        <w:rPr>
          <w:rFonts w:ascii="Times New Roman" w:hAnsi="Times New Roman"/>
          <w:sz w:val="22"/>
        </w:rPr>
      </w:pPr>
      <w:r>
        <w:rPr>
          <w:rFonts w:ascii="Times New Roman" w:hAnsi="Times New Roman"/>
          <w:sz w:val="22"/>
        </w:rPr>
        <w:t>Dr. Newman commented, “Our studies to date support the use of MVA as a vector for the design and production of next-generation vaccines encoding multiple coronavirus proteins, using the S protein as the antibody target and the M and E proteins as T-cell targets. The combination of S, M and E protein expression supports VLP formation and optimal immunogenicity.  In our studies, we observed the induction of functional antibodies and T-cell responses that mediate protection from infection and pathogenesis.”</w:t>
      </w:r>
    </w:p>
    <w:p w14:paraId="2B24F0A9" w14:textId="77777777" w:rsidR="00A75747" w:rsidRDefault="00A75747" w:rsidP="00A75747">
      <w:pPr>
        <w:pStyle w:val="p1"/>
        <w:jc w:val="both"/>
        <w:rPr>
          <w:rFonts w:ascii="Times New Roman" w:hAnsi="Times New Roman"/>
          <w:sz w:val="22"/>
        </w:rPr>
      </w:pPr>
    </w:p>
    <w:p w14:paraId="43314867" w14:textId="77777777" w:rsidR="00A75747" w:rsidRPr="00F33C29" w:rsidRDefault="00A75747" w:rsidP="00A75747">
      <w:pPr>
        <w:jc w:val="both"/>
        <w:rPr>
          <w:bCs/>
          <w:sz w:val="22"/>
          <w:szCs w:val="22"/>
        </w:rPr>
      </w:pPr>
      <w:r w:rsidRPr="00F33C29">
        <w:rPr>
          <w:bCs/>
          <w:sz w:val="22"/>
          <w:szCs w:val="22"/>
        </w:rPr>
        <w:t>David Dodd, GeoVax President and CEO</w:t>
      </w:r>
      <w:r>
        <w:rPr>
          <w:bCs/>
          <w:sz w:val="22"/>
          <w:szCs w:val="22"/>
        </w:rPr>
        <w:t>,</w:t>
      </w:r>
      <w:r w:rsidRPr="00F33C29">
        <w:rPr>
          <w:bCs/>
          <w:sz w:val="22"/>
          <w:szCs w:val="22"/>
        </w:rPr>
        <w:t xml:space="preserve"> </w:t>
      </w:r>
      <w:r>
        <w:rPr>
          <w:bCs/>
          <w:sz w:val="22"/>
          <w:szCs w:val="22"/>
        </w:rPr>
        <w:t xml:space="preserve">further </w:t>
      </w:r>
      <w:r w:rsidRPr="00F33C29">
        <w:rPr>
          <w:bCs/>
          <w:sz w:val="22"/>
          <w:szCs w:val="22"/>
        </w:rPr>
        <w:t>commented, “</w:t>
      </w:r>
      <w:r>
        <w:rPr>
          <w:bCs/>
          <w:sz w:val="22"/>
          <w:szCs w:val="22"/>
        </w:rPr>
        <w:t xml:space="preserve">The presentation of data from this study further validates our platform and approach to addressing COVID-19 and its variants. </w:t>
      </w:r>
      <w:r>
        <w:rPr>
          <w:sz w:val="22"/>
          <w:szCs w:val="22"/>
        </w:rPr>
        <w:t>Our</w:t>
      </w:r>
      <w:r w:rsidRPr="00AC1D3E">
        <w:rPr>
          <w:sz w:val="22"/>
          <w:szCs w:val="22"/>
        </w:rPr>
        <w:t xml:space="preserve"> vaccines </w:t>
      </w:r>
      <w:r>
        <w:rPr>
          <w:sz w:val="22"/>
          <w:szCs w:val="22"/>
        </w:rPr>
        <w:t xml:space="preserve">under development </w:t>
      </w:r>
      <w:r w:rsidRPr="00AC1D3E">
        <w:rPr>
          <w:sz w:val="22"/>
          <w:szCs w:val="22"/>
        </w:rPr>
        <w:t xml:space="preserve">are intended to be used as either a primary vaccine or to boost other COVID-19 vaccines as part of vaccination strategies to provide immunity to a range of coronavirus variants. </w:t>
      </w:r>
      <w:r>
        <w:rPr>
          <w:sz w:val="22"/>
          <w:szCs w:val="22"/>
        </w:rPr>
        <w:t>We</w:t>
      </w:r>
      <w:r w:rsidRPr="00AC1D3E">
        <w:rPr>
          <w:sz w:val="22"/>
          <w:szCs w:val="22"/>
        </w:rPr>
        <w:t xml:space="preserve"> believe a critical and significant opportunity exists for a pan-coronavirus vaccine with the attributes the </w:t>
      </w:r>
      <w:r>
        <w:rPr>
          <w:sz w:val="22"/>
        </w:rPr>
        <w:t>GV-</w:t>
      </w:r>
      <w:r w:rsidRPr="00AC1D3E">
        <w:rPr>
          <w:sz w:val="22"/>
        </w:rPr>
        <w:t>MVA-VLP</w:t>
      </w:r>
      <w:r w:rsidRPr="00CE4254">
        <w:rPr>
          <w:sz w:val="22"/>
          <w:vertAlign w:val="superscript"/>
        </w:rPr>
        <w:t>TM</w:t>
      </w:r>
      <w:r w:rsidRPr="00AC1D3E">
        <w:rPr>
          <w:sz w:val="22"/>
        </w:rPr>
        <w:t xml:space="preserve"> </w:t>
      </w:r>
      <w:r w:rsidRPr="00AC1D3E">
        <w:rPr>
          <w:sz w:val="22"/>
          <w:szCs w:val="22"/>
        </w:rPr>
        <w:t>technology can offer.</w:t>
      </w:r>
      <w:r>
        <w:rPr>
          <w:sz w:val="22"/>
          <w:szCs w:val="22"/>
        </w:rPr>
        <w:t>”</w:t>
      </w:r>
    </w:p>
    <w:p w14:paraId="54B37C6C" w14:textId="77777777" w:rsidR="00A75747" w:rsidRPr="00C64D67" w:rsidRDefault="00A75747" w:rsidP="00A75747">
      <w:pPr>
        <w:jc w:val="both"/>
      </w:pPr>
    </w:p>
    <w:p w14:paraId="04B90F62" w14:textId="77777777" w:rsidR="00A75747" w:rsidRPr="00AA756A" w:rsidRDefault="00A75747" w:rsidP="00A75747">
      <w:pPr>
        <w:jc w:val="both"/>
        <w:rPr>
          <w:rFonts w:eastAsia="SimSun"/>
          <w:b/>
          <w:bCs/>
          <w:color w:val="000000" w:themeColor="text1"/>
          <w:sz w:val="22"/>
          <w:szCs w:val="22"/>
        </w:rPr>
      </w:pPr>
      <w:r w:rsidRPr="00AA756A">
        <w:rPr>
          <w:rFonts w:eastAsia="SimSun"/>
          <w:b/>
          <w:bCs/>
          <w:color w:val="000000" w:themeColor="text1"/>
          <w:sz w:val="22"/>
          <w:szCs w:val="22"/>
        </w:rPr>
        <w:t>About GeoVax</w:t>
      </w:r>
    </w:p>
    <w:p w14:paraId="4A8FD567" w14:textId="77777777" w:rsidR="00A75747" w:rsidRPr="00AA756A" w:rsidRDefault="00A75747" w:rsidP="00A75747">
      <w:pPr>
        <w:widowControl w:val="0"/>
        <w:autoSpaceDE w:val="0"/>
        <w:autoSpaceDN w:val="0"/>
        <w:adjustRightInd w:val="0"/>
        <w:jc w:val="both"/>
        <w:rPr>
          <w:rFonts w:eastAsia="SimSun"/>
          <w:sz w:val="22"/>
          <w:szCs w:val="22"/>
        </w:rPr>
      </w:pPr>
      <w:bookmarkStart w:id="1" w:name="_Hlk514326477"/>
    </w:p>
    <w:p w14:paraId="0AFAB01B" w14:textId="77777777" w:rsidR="00A75747" w:rsidRPr="00AA756A" w:rsidRDefault="00A75747" w:rsidP="00A75747">
      <w:pPr>
        <w:widowControl w:val="0"/>
        <w:autoSpaceDE w:val="0"/>
        <w:autoSpaceDN w:val="0"/>
        <w:adjustRightInd w:val="0"/>
        <w:jc w:val="both"/>
        <w:outlineLvl w:val="0"/>
        <w:rPr>
          <w:rFonts w:eastAsia="SimSun"/>
          <w:sz w:val="22"/>
          <w:szCs w:val="22"/>
        </w:rPr>
      </w:pPr>
      <w:r w:rsidRPr="00AA756A">
        <w:rPr>
          <w:rFonts w:eastAsia="SimSun"/>
          <w:sz w:val="22"/>
          <w:szCs w:val="22"/>
        </w:rPr>
        <w:t xml:space="preserve">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in the person receiving the vaccine. The production of VLPs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w:t>
      </w:r>
      <w:proofErr w:type="gramStart"/>
      <w:r w:rsidRPr="00AA756A">
        <w:rPr>
          <w:rFonts w:eastAsia="SimSun"/>
          <w:sz w:val="22"/>
          <w:szCs w:val="22"/>
        </w:rPr>
        <w:t>similar</w:t>
      </w:r>
      <w:r>
        <w:rPr>
          <w:rFonts w:eastAsia="SimSun"/>
          <w:sz w:val="22"/>
          <w:szCs w:val="22"/>
        </w:rPr>
        <w:t xml:space="preserve"> </w:t>
      </w:r>
      <w:r w:rsidRPr="00AA756A">
        <w:rPr>
          <w:rFonts w:eastAsia="SimSun"/>
          <w:sz w:val="22"/>
          <w:szCs w:val="22"/>
        </w:rPr>
        <w:t>to</w:t>
      </w:r>
      <w:proofErr w:type="gramEnd"/>
      <w:r w:rsidRPr="00AA756A">
        <w:rPr>
          <w:rFonts w:eastAsia="SimSun"/>
          <w:sz w:val="22"/>
          <w:szCs w:val="22"/>
        </w:rPr>
        <w:t xml:space="preserve"> a live-attenuated virus, while providing the safety characteristics of a replication-defective vector. </w:t>
      </w:r>
    </w:p>
    <w:p w14:paraId="4E42AD8F" w14:textId="77777777" w:rsidR="00A75747" w:rsidRPr="00AA756A" w:rsidRDefault="00A75747" w:rsidP="00A75747">
      <w:pPr>
        <w:widowControl w:val="0"/>
        <w:autoSpaceDE w:val="0"/>
        <w:autoSpaceDN w:val="0"/>
        <w:adjustRightInd w:val="0"/>
        <w:jc w:val="both"/>
        <w:outlineLvl w:val="0"/>
        <w:rPr>
          <w:rFonts w:eastAsia="SimSun"/>
          <w:sz w:val="22"/>
          <w:szCs w:val="22"/>
        </w:rPr>
      </w:pPr>
    </w:p>
    <w:p w14:paraId="6F09382A" w14:textId="77777777" w:rsidR="00A75747" w:rsidRPr="00AA756A" w:rsidRDefault="00A75747" w:rsidP="00A75747">
      <w:pPr>
        <w:widowControl w:val="0"/>
        <w:autoSpaceDE w:val="0"/>
        <w:autoSpaceDN w:val="0"/>
        <w:adjustRightInd w:val="0"/>
        <w:jc w:val="both"/>
        <w:outlineLvl w:val="0"/>
        <w:rPr>
          <w:rFonts w:eastAsia="SimSun"/>
          <w:sz w:val="22"/>
          <w:szCs w:val="22"/>
        </w:rPr>
      </w:pPr>
      <w:proofErr w:type="spellStart"/>
      <w:r w:rsidRPr="00AA756A">
        <w:rPr>
          <w:rFonts w:eastAsia="SimSun"/>
          <w:sz w:val="22"/>
          <w:szCs w:val="22"/>
        </w:rPr>
        <w:t>GeoVax’s</w:t>
      </w:r>
      <w:proofErr w:type="spellEnd"/>
      <w:r w:rsidRPr="00AA756A">
        <w:rPr>
          <w:rFonts w:eastAsia="SimSun"/>
          <w:sz w:val="22"/>
          <w:szCs w:val="22"/>
        </w:rPr>
        <w:t xml:space="preserve"> current development programs are focused on preventive vaccines against COVID-19, HIV, Zika Virus, hemorrhagic fever viruses (Ebola, Sudan, Marburg, and Lassa), and malaria,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AA756A">
        <w:rPr>
          <w:rFonts w:eastAsia="SimSun"/>
          <w:sz w:val="22"/>
          <w:szCs w:val="22"/>
        </w:rPr>
        <w:t>GeoVax’s</w:t>
      </w:r>
      <w:proofErr w:type="spellEnd"/>
      <w:r w:rsidRPr="00AA756A">
        <w:rPr>
          <w:rFonts w:eastAsia="SimSun"/>
          <w:sz w:val="22"/>
          <w:szCs w:val="22"/>
        </w:rPr>
        <w:t xml:space="preserve"> HIV vaccine is also part of a collaborative effort toward a functional cure for HIV.</w:t>
      </w:r>
    </w:p>
    <w:p w14:paraId="4FBC8EB4" w14:textId="77777777" w:rsidR="00A75747" w:rsidRPr="00AA756A" w:rsidRDefault="00A75747" w:rsidP="00A75747">
      <w:pPr>
        <w:widowControl w:val="0"/>
        <w:autoSpaceDE w:val="0"/>
        <w:autoSpaceDN w:val="0"/>
        <w:adjustRightInd w:val="0"/>
        <w:jc w:val="both"/>
        <w:outlineLvl w:val="0"/>
        <w:rPr>
          <w:rFonts w:eastAsia="SimSun"/>
          <w:b/>
          <w:i/>
          <w:sz w:val="22"/>
          <w:szCs w:val="22"/>
        </w:rPr>
      </w:pPr>
    </w:p>
    <w:bookmarkEnd w:id="1"/>
    <w:p w14:paraId="0FBB7B84" w14:textId="77777777" w:rsidR="00A75747" w:rsidRPr="00AA756A" w:rsidRDefault="00A75747" w:rsidP="00A75747">
      <w:pPr>
        <w:widowControl w:val="0"/>
        <w:autoSpaceDE w:val="0"/>
        <w:autoSpaceDN w:val="0"/>
        <w:adjustRightInd w:val="0"/>
        <w:jc w:val="both"/>
        <w:outlineLvl w:val="0"/>
        <w:rPr>
          <w:rFonts w:eastAsia="SimSun"/>
          <w:b/>
          <w:i/>
          <w:sz w:val="22"/>
          <w:szCs w:val="22"/>
        </w:rPr>
      </w:pPr>
      <w:r w:rsidRPr="00AA756A">
        <w:rPr>
          <w:rFonts w:eastAsia="SimSun"/>
          <w:b/>
          <w:i/>
          <w:sz w:val="22"/>
          <w:szCs w:val="22"/>
        </w:rPr>
        <w:t>Forward-Looking Statements</w:t>
      </w:r>
    </w:p>
    <w:p w14:paraId="267E2E8D" w14:textId="77777777" w:rsidR="00A75747" w:rsidRDefault="00A75747" w:rsidP="00A75747">
      <w:pPr>
        <w:widowControl w:val="0"/>
        <w:shd w:val="clear" w:color="auto" w:fill="FFFFFF"/>
        <w:autoSpaceDE w:val="0"/>
        <w:autoSpaceDN w:val="0"/>
        <w:adjustRightInd w:val="0"/>
        <w:jc w:val="both"/>
        <w:rPr>
          <w:rFonts w:eastAsia="SimSun"/>
          <w:i/>
          <w:sz w:val="22"/>
          <w:szCs w:val="22"/>
        </w:rPr>
      </w:pPr>
      <w:bookmarkStart w:id="2" w:name="_Hlk66205167"/>
    </w:p>
    <w:p w14:paraId="51CCA885" w14:textId="77777777" w:rsidR="00A75747" w:rsidRPr="00AA756A" w:rsidRDefault="00A75747" w:rsidP="00A75747">
      <w:pPr>
        <w:widowControl w:val="0"/>
        <w:shd w:val="clear" w:color="auto" w:fill="FFFFFF"/>
        <w:autoSpaceDE w:val="0"/>
        <w:autoSpaceDN w:val="0"/>
        <w:adjustRightInd w:val="0"/>
        <w:jc w:val="both"/>
        <w:rPr>
          <w:rFonts w:eastAsia="SimSun"/>
          <w:i/>
          <w:sz w:val="22"/>
          <w:szCs w:val="22"/>
        </w:rPr>
      </w:pPr>
      <w:r w:rsidRPr="00AA756A">
        <w:rPr>
          <w:rFonts w:eastAsia="SimSun"/>
          <w:i/>
          <w:sz w:val="22"/>
          <w:szCs w:val="22"/>
        </w:rPr>
        <w:t>This release contain</w:t>
      </w:r>
      <w:r>
        <w:rPr>
          <w:rFonts w:eastAsia="SimSun"/>
          <w:i/>
          <w:sz w:val="22"/>
          <w:szCs w:val="22"/>
        </w:rPr>
        <w:t>s</w:t>
      </w:r>
      <w:r w:rsidRPr="00AA756A">
        <w:rPr>
          <w:rFonts w:eastAsia="SimSun"/>
          <w:i/>
          <w:sz w:val="22"/>
          <w:szCs w:val="22"/>
        </w:rPr>
        <w:t xml:space="preserve"> forward-looking statements regarding </w:t>
      </w:r>
      <w:proofErr w:type="spellStart"/>
      <w:r w:rsidRPr="00AA756A">
        <w:rPr>
          <w:rFonts w:eastAsia="SimSun"/>
          <w:i/>
          <w:sz w:val="22"/>
          <w:szCs w:val="22"/>
        </w:rPr>
        <w:t>GeoVax’s</w:t>
      </w:r>
      <w:proofErr w:type="spellEnd"/>
      <w:r w:rsidRPr="00AA756A">
        <w:rPr>
          <w:rFonts w:eastAsia="SimSun"/>
          <w:i/>
          <w:sz w:val="22"/>
          <w:szCs w:val="22"/>
        </w:rPr>
        <w:t xml:space="preserve"> business plans. The words “believe,”</w:t>
      </w:r>
      <w:r>
        <w:rPr>
          <w:rFonts w:eastAsia="SimSun"/>
          <w:i/>
          <w:sz w:val="22"/>
          <w:szCs w:val="22"/>
        </w:rPr>
        <w:t xml:space="preserve"> “look forward to,”</w:t>
      </w:r>
      <w:r w:rsidRPr="00AA756A">
        <w:rPr>
          <w:rFonts w:eastAsia="SimSun"/>
          <w:i/>
          <w:sz w:val="22"/>
          <w:szCs w:val="22"/>
        </w:rPr>
        <w:t xml:space="preserve">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w:t>
      </w:r>
      <w:r w:rsidRPr="00513AD1">
        <w:t xml:space="preserve"> </w:t>
      </w:r>
      <w:r w:rsidRPr="00513AD1">
        <w:rPr>
          <w:rFonts w:eastAsia="SimSun"/>
          <w:i/>
          <w:sz w:val="22"/>
          <w:szCs w:val="22"/>
        </w:rPr>
        <w:t xml:space="preserve">obtain acceptable results from additional tests of  its preventive vaccine against </w:t>
      </w:r>
      <w:r>
        <w:rPr>
          <w:rFonts w:eastAsia="SimSun"/>
          <w:i/>
          <w:sz w:val="22"/>
          <w:szCs w:val="22"/>
        </w:rPr>
        <w:t>SARS-CoV-2,</w:t>
      </w:r>
      <w:r w:rsidRPr="00513AD1">
        <w:rPr>
          <w:rFonts w:eastAsia="SimSun"/>
          <w:i/>
          <w:sz w:val="22"/>
          <w:szCs w:val="22"/>
        </w:rPr>
        <w:t xml:space="preserve"> </w:t>
      </w:r>
      <w:proofErr w:type="spellStart"/>
      <w:r w:rsidRPr="00AA756A">
        <w:rPr>
          <w:rFonts w:eastAsia="SimSun"/>
          <w:i/>
          <w:sz w:val="22"/>
          <w:szCs w:val="22"/>
        </w:rPr>
        <w:t>GeoVax’s</w:t>
      </w:r>
      <w:proofErr w:type="spellEnd"/>
      <w:r w:rsidRPr="00AA756A">
        <w:rPr>
          <w:rFonts w:eastAsia="SimSun"/>
          <w:i/>
          <w:sz w:val="22"/>
          <w:szCs w:val="22"/>
        </w:rPr>
        <w:t xml:space="preserve"> vaccines can provoke the desired immune responses, and those vaccines can be used effectively as a primary or booster to other vaccines, </w:t>
      </w:r>
      <w:proofErr w:type="spellStart"/>
      <w:r w:rsidRPr="00AA756A">
        <w:rPr>
          <w:rFonts w:eastAsia="SimSun"/>
          <w:i/>
          <w:sz w:val="22"/>
          <w:szCs w:val="22"/>
        </w:rPr>
        <w:t>GeoVax’s</w:t>
      </w:r>
      <w:proofErr w:type="spellEnd"/>
      <w:r w:rsidRPr="00AA756A">
        <w:rPr>
          <w:rFonts w:eastAsia="SimSun"/>
          <w:i/>
          <w:sz w:val="22"/>
          <w:szCs w:val="22"/>
        </w:rPr>
        <w:t xml:space="preserve"> viral vector technology adequately amplifies immune responses to cancer antigens, GeoVax can develop and manufacture its vaccines with the desired characteristics in a timely manner, </w:t>
      </w:r>
      <w:proofErr w:type="spellStart"/>
      <w:r w:rsidRPr="00AA756A">
        <w:rPr>
          <w:rFonts w:eastAsia="SimSun"/>
          <w:i/>
          <w:sz w:val="22"/>
          <w:szCs w:val="22"/>
        </w:rPr>
        <w:t>GeoVax’s</w:t>
      </w:r>
      <w:proofErr w:type="spellEnd"/>
      <w:r w:rsidRPr="00AA756A">
        <w:rPr>
          <w:rFonts w:eastAsia="SimSun"/>
          <w:i/>
          <w:sz w:val="22"/>
          <w:szCs w:val="22"/>
        </w:rPr>
        <w:t xml:space="preserve"> vaccines will be safe for human use, </w:t>
      </w:r>
      <w:proofErr w:type="spellStart"/>
      <w:r w:rsidRPr="00AA756A">
        <w:rPr>
          <w:rFonts w:eastAsia="SimSun"/>
          <w:i/>
          <w:sz w:val="22"/>
          <w:szCs w:val="22"/>
        </w:rPr>
        <w:t>GeoVax’s</w:t>
      </w:r>
      <w:proofErr w:type="spellEnd"/>
      <w:r w:rsidRPr="00AA756A">
        <w:rPr>
          <w:rFonts w:eastAsia="SimSun"/>
          <w:i/>
          <w:sz w:val="22"/>
          <w:szCs w:val="22"/>
        </w:rPr>
        <w:t xml:space="preserve"> vaccines will effectively prevent targeted infections in humans, </w:t>
      </w:r>
      <w:proofErr w:type="spellStart"/>
      <w:r w:rsidRPr="00AA756A">
        <w:rPr>
          <w:rFonts w:eastAsia="SimSun"/>
          <w:i/>
          <w:sz w:val="22"/>
          <w:szCs w:val="22"/>
        </w:rPr>
        <w:t>GeoVax’s</w:t>
      </w:r>
      <w:proofErr w:type="spellEnd"/>
      <w:r w:rsidRPr="00AA756A">
        <w:rPr>
          <w:rFonts w:eastAsia="SimSun"/>
          <w:i/>
          <w:sz w:val="22"/>
          <w:szCs w:val="22"/>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AA756A">
        <w:rPr>
          <w:rFonts w:eastAsia="SimSun"/>
          <w:i/>
          <w:sz w:val="22"/>
          <w:szCs w:val="22"/>
        </w:rPr>
        <w:t>GeoVax’s</w:t>
      </w:r>
      <w:proofErr w:type="spellEnd"/>
      <w:r w:rsidRPr="00AA756A">
        <w:rPr>
          <w:rFonts w:eastAsia="SimSun"/>
          <w:i/>
          <w:sz w:val="22"/>
          <w:szCs w:val="22"/>
        </w:rPr>
        <w:t xml:space="preserve"> products, GeoVax will be able to enter into favorable manufacturing and distribution agreements, and other factors, over which GeoVax has no control. </w:t>
      </w:r>
    </w:p>
    <w:p w14:paraId="3369D33B" w14:textId="77777777" w:rsidR="00A75747" w:rsidRDefault="00A75747" w:rsidP="00A75747">
      <w:pPr>
        <w:widowControl w:val="0"/>
        <w:shd w:val="clear" w:color="auto" w:fill="FFFFFF"/>
        <w:autoSpaceDE w:val="0"/>
        <w:autoSpaceDN w:val="0"/>
        <w:adjustRightInd w:val="0"/>
        <w:jc w:val="both"/>
        <w:rPr>
          <w:rFonts w:eastAsia="SimSun"/>
          <w:i/>
          <w:sz w:val="22"/>
          <w:szCs w:val="22"/>
        </w:rPr>
      </w:pPr>
    </w:p>
    <w:p w14:paraId="7DD93AE6" w14:textId="77777777" w:rsidR="00A75747" w:rsidRPr="00AA756A" w:rsidRDefault="00A75747" w:rsidP="00A75747">
      <w:pPr>
        <w:widowControl w:val="0"/>
        <w:shd w:val="clear" w:color="auto" w:fill="FFFFFF"/>
        <w:autoSpaceDE w:val="0"/>
        <w:autoSpaceDN w:val="0"/>
        <w:adjustRightInd w:val="0"/>
        <w:jc w:val="both"/>
        <w:rPr>
          <w:rFonts w:eastAsia="SimSun"/>
          <w:i/>
          <w:sz w:val="22"/>
          <w:szCs w:val="22"/>
        </w:rPr>
      </w:pPr>
      <w:r w:rsidRPr="00AA756A">
        <w:rPr>
          <w:rFonts w:eastAsia="SimSun"/>
          <w:i/>
          <w:sz w:val="22"/>
          <w:szCs w:val="22"/>
        </w:rPr>
        <w:t xml:space="preserve">Further information on our risk factors is contained in our registration statement on Form S-1 and the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AA756A">
        <w:rPr>
          <w:rFonts w:eastAsia="SimSun"/>
          <w:i/>
          <w:sz w:val="22"/>
          <w:szCs w:val="22"/>
        </w:rPr>
        <w:t>as a result of</w:t>
      </w:r>
      <w:proofErr w:type="gramEnd"/>
      <w:r w:rsidRPr="00AA756A">
        <w:rPr>
          <w:rFonts w:eastAsia="SimSun"/>
          <w:i/>
          <w:sz w:val="22"/>
          <w:szCs w:val="22"/>
        </w:rPr>
        <w:t xml:space="preserve"> new information, future developments or otherwise, except as may be required by</w:t>
      </w:r>
      <w:r>
        <w:rPr>
          <w:rFonts w:eastAsia="SimSun"/>
          <w:i/>
          <w:sz w:val="22"/>
          <w:szCs w:val="22"/>
        </w:rPr>
        <w:t xml:space="preserve"> U.S. federal securities</w:t>
      </w:r>
      <w:r w:rsidRPr="00AA756A">
        <w:rPr>
          <w:rFonts w:eastAsia="SimSun"/>
          <w:i/>
          <w:sz w:val="22"/>
          <w:szCs w:val="22"/>
        </w:rPr>
        <w:t xml:space="preserve"> law.</w:t>
      </w:r>
      <w:r w:rsidRPr="00AA756A">
        <w:rPr>
          <w:rFonts w:eastAsia="SimSun"/>
          <w:b/>
          <w:bCs/>
          <w:i/>
          <w:sz w:val="22"/>
          <w:szCs w:val="22"/>
        </w:rPr>
        <w:t> </w:t>
      </w:r>
    </w:p>
    <w:bookmarkEnd w:id="2"/>
    <w:p w14:paraId="11B579CD" w14:textId="77777777" w:rsidR="00A75747" w:rsidRPr="00AA756A" w:rsidRDefault="00A75747" w:rsidP="00A75747">
      <w:pPr>
        <w:rPr>
          <w:b/>
          <w:bCs/>
          <w:sz w:val="22"/>
          <w:szCs w:val="22"/>
        </w:rPr>
      </w:pPr>
    </w:p>
    <w:p w14:paraId="7A0E64D7" w14:textId="77777777" w:rsidR="00A75747" w:rsidRPr="00AA756A" w:rsidRDefault="00A75747" w:rsidP="00A75747">
      <w:pPr>
        <w:rPr>
          <w:sz w:val="22"/>
          <w:szCs w:val="22"/>
        </w:rPr>
      </w:pPr>
      <w:r w:rsidRPr="00AA756A">
        <w:rPr>
          <w:b/>
          <w:bCs/>
          <w:sz w:val="22"/>
          <w:szCs w:val="22"/>
        </w:rPr>
        <w:t>Contact:</w:t>
      </w:r>
    </w:p>
    <w:p w14:paraId="153F953A" w14:textId="77777777" w:rsidR="00A75747" w:rsidRPr="00AA756A" w:rsidRDefault="00A75747" w:rsidP="00A75747">
      <w:pPr>
        <w:rPr>
          <w:sz w:val="22"/>
          <w:szCs w:val="22"/>
        </w:rPr>
      </w:pPr>
      <w:r w:rsidRPr="00AA756A">
        <w:rPr>
          <w:sz w:val="22"/>
          <w:szCs w:val="22"/>
        </w:rPr>
        <w:t>GeoVax Labs, Inc.</w:t>
      </w:r>
    </w:p>
    <w:p w14:paraId="434C9522" w14:textId="77777777" w:rsidR="00A75747" w:rsidRPr="00AA756A" w:rsidRDefault="00A75747" w:rsidP="00A75747">
      <w:pPr>
        <w:rPr>
          <w:sz w:val="22"/>
          <w:szCs w:val="22"/>
        </w:rPr>
      </w:pPr>
      <w:r w:rsidRPr="00AA756A">
        <w:rPr>
          <w:sz w:val="22"/>
          <w:szCs w:val="22"/>
        </w:rPr>
        <w:t>investor@geovax.com</w:t>
      </w:r>
    </w:p>
    <w:p w14:paraId="6C0202A1" w14:textId="77777777" w:rsidR="00A75747" w:rsidRPr="00AA756A" w:rsidRDefault="00A75747" w:rsidP="00A75747">
      <w:pPr>
        <w:rPr>
          <w:sz w:val="22"/>
          <w:szCs w:val="22"/>
        </w:rPr>
      </w:pPr>
      <w:r w:rsidRPr="00AA756A">
        <w:rPr>
          <w:sz w:val="22"/>
          <w:szCs w:val="22"/>
        </w:rPr>
        <w:t>678-384-7220</w:t>
      </w:r>
    </w:p>
    <w:p w14:paraId="242BCD0E" w14:textId="77777777" w:rsidR="00A75747" w:rsidRPr="00333EFA" w:rsidRDefault="00A75747" w:rsidP="00A75747">
      <w:pPr>
        <w:widowControl w:val="0"/>
        <w:shd w:val="clear" w:color="auto" w:fill="FFFFFF"/>
        <w:autoSpaceDE w:val="0"/>
        <w:autoSpaceDN w:val="0"/>
        <w:adjustRightInd w:val="0"/>
        <w:spacing w:after="120"/>
        <w:jc w:val="both"/>
        <w:rPr>
          <w:color w:val="000000" w:themeColor="text1"/>
          <w:sz w:val="22"/>
          <w:szCs w:val="22"/>
        </w:rPr>
      </w:pPr>
    </w:p>
    <w:p w14:paraId="2B519A86" w14:textId="70F9D28F" w:rsidR="004B3179" w:rsidRPr="008D7E3A" w:rsidRDefault="004B3179" w:rsidP="008D7E3A"/>
    <w:sectPr w:rsidR="004B3179" w:rsidRPr="008D7E3A" w:rsidSect="00BC6A44">
      <w:footerReference w:type="default" r:id="rId10"/>
      <w:headerReference w:type="first" r:id="rId11"/>
      <w:footerReference w:type="first" r:id="rId12"/>
      <w:pgSz w:w="12240" w:h="15840" w:code="1"/>
      <w:pgMar w:top="720" w:right="1440"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B68D" w14:textId="77777777" w:rsidR="00C53991" w:rsidRDefault="00C53991" w:rsidP="004422FB">
      <w:r>
        <w:separator/>
      </w:r>
    </w:p>
  </w:endnote>
  <w:endnote w:type="continuationSeparator" w:id="0">
    <w:p w14:paraId="151CB337" w14:textId="77777777" w:rsidR="00C53991" w:rsidRDefault="00C53991"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351D6BB2" w:rsidR="004422FB" w:rsidRDefault="00A7489D" w:rsidP="00A7489D">
    <w:pPr>
      <w:pStyle w:val="Footer"/>
      <w:jc w:val="center"/>
    </w:pPr>
    <w:r>
      <w:fldChar w:fldCharType="begin"/>
    </w:r>
    <w:r>
      <w:instrText xml:space="preserve"> PAGE   \* MERGEFORMAT </w:instrText>
    </w:r>
    <w:r>
      <w:fldChar w:fldCharType="separate"/>
    </w:r>
    <w:r w:rsidR="00494777">
      <w:rPr>
        <w:noProof/>
      </w:rPr>
      <w:t>3</w:t>
    </w:r>
    <w:r>
      <w:rPr>
        <w:noProof/>
      </w:rPr>
      <w:fldChar w:fldCharType="end"/>
    </w:r>
  </w:p>
  <w:p w14:paraId="00D1A497" w14:textId="2E8C1B49" w:rsidR="004422FB" w:rsidRDefault="004422FB" w:rsidP="00442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6196" w14:textId="77777777" w:rsidR="00016F50" w:rsidRDefault="00E22AE9" w:rsidP="00965DF2">
    <w:pPr>
      <w:pStyle w:val="Footer"/>
      <w:jc w:val="center"/>
      <w:rPr>
        <w:b/>
      </w:rPr>
    </w:pPr>
    <w:r>
      <w:rPr>
        <w:b/>
      </w:rPr>
      <w:t>###</w:t>
    </w:r>
  </w:p>
  <w:p w14:paraId="55BA869E" w14:textId="77777777" w:rsidR="00D3164B" w:rsidRDefault="001C46AC" w:rsidP="00016F50">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9A11" w14:textId="77777777" w:rsidR="00016F50" w:rsidRDefault="001C46AC">
    <w:pPr>
      <w:pStyle w:val="Footer"/>
    </w:pPr>
  </w:p>
  <w:p w14:paraId="060260DC" w14:textId="77777777" w:rsidR="00016F50" w:rsidRDefault="001C46AC" w:rsidP="00016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50FD" w14:textId="77777777" w:rsidR="00C53991" w:rsidRDefault="00C53991" w:rsidP="004422FB">
      <w:r>
        <w:separator/>
      </w:r>
    </w:p>
  </w:footnote>
  <w:footnote w:type="continuationSeparator" w:id="0">
    <w:p w14:paraId="46DB966B" w14:textId="77777777" w:rsidR="00C53991" w:rsidRDefault="00C53991"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433F" w14:textId="77777777" w:rsidR="00D3164B" w:rsidRDefault="00E22AE9">
    <w:pPr>
      <w:pStyle w:val="Header"/>
    </w:pPr>
    <w:r w:rsidRPr="005777BA">
      <w:rPr>
        <w:b/>
        <w:noProof/>
      </w:rPr>
      <w:drawing>
        <wp:inline distT="0" distB="0" distL="0" distR="0" wp14:anchorId="5C176B1C" wp14:editId="09750B9C">
          <wp:extent cx="1892878" cy="501875"/>
          <wp:effectExtent l="19050" t="0" r="0" b="0"/>
          <wp:docPr id="1"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4B3179"/>
    <w:rsid w:val="00096511"/>
    <w:rsid w:val="000E6508"/>
    <w:rsid w:val="001C46AC"/>
    <w:rsid w:val="001D3520"/>
    <w:rsid w:val="002049D0"/>
    <w:rsid w:val="00296BF7"/>
    <w:rsid w:val="00304DE8"/>
    <w:rsid w:val="0036369E"/>
    <w:rsid w:val="00376DEC"/>
    <w:rsid w:val="003B670F"/>
    <w:rsid w:val="00401F33"/>
    <w:rsid w:val="004422FB"/>
    <w:rsid w:val="004562CE"/>
    <w:rsid w:val="00494777"/>
    <w:rsid w:val="004B3179"/>
    <w:rsid w:val="00652DCC"/>
    <w:rsid w:val="006A30B4"/>
    <w:rsid w:val="006B4011"/>
    <w:rsid w:val="006C4831"/>
    <w:rsid w:val="00766EB9"/>
    <w:rsid w:val="0089446A"/>
    <w:rsid w:val="008D7E3A"/>
    <w:rsid w:val="008E4E77"/>
    <w:rsid w:val="00922B4A"/>
    <w:rsid w:val="009B15B2"/>
    <w:rsid w:val="009F16FD"/>
    <w:rsid w:val="009F32C7"/>
    <w:rsid w:val="009F7B30"/>
    <w:rsid w:val="00A213F5"/>
    <w:rsid w:val="00A7489D"/>
    <w:rsid w:val="00A75747"/>
    <w:rsid w:val="00B44E7B"/>
    <w:rsid w:val="00B4616E"/>
    <w:rsid w:val="00B51502"/>
    <w:rsid w:val="00B61191"/>
    <w:rsid w:val="00BB7014"/>
    <w:rsid w:val="00BC6551"/>
    <w:rsid w:val="00BF415F"/>
    <w:rsid w:val="00C53991"/>
    <w:rsid w:val="00C815CE"/>
    <w:rsid w:val="00CB1EAA"/>
    <w:rsid w:val="00CC52F4"/>
    <w:rsid w:val="00CD55C2"/>
    <w:rsid w:val="00CE3919"/>
    <w:rsid w:val="00D128D7"/>
    <w:rsid w:val="00D17971"/>
    <w:rsid w:val="00D60567"/>
    <w:rsid w:val="00D95C48"/>
    <w:rsid w:val="00E115D3"/>
    <w:rsid w:val="00E22AE9"/>
    <w:rsid w:val="00EB5CF9"/>
    <w:rsid w:val="00F073F4"/>
    <w:rsid w:val="00F100FC"/>
    <w:rsid w:val="00F13A9C"/>
    <w:rsid w:val="00F27385"/>
    <w:rsid w:val="00F53643"/>
    <w:rsid w:val="00F65C64"/>
    <w:rsid w:val="00F958BB"/>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22FB"/>
    <w:pPr>
      <w:tabs>
        <w:tab w:val="center" w:pos="4680"/>
        <w:tab w:val="right" w:pos="9360"/>
      </w:tabs>
    </w:pPr>
  </w:style>
  <w:style w:type="character" w:customStyle="1" w:styleId="HeaderChar">
    <w:name w:val="Header Char"/>
    <w:basedOn w:val="DefaultParagraphFont"/>
    <w:link w:val="Header"/>
    <w:rsid w:val="004422FB"/>
    <w:rPr>
      <w:sz w:val="24"/>
      <w:szCs w:val="24"/>
    </w:rPr>
  </w:style>
  <w:style w:type="paragraph" w:styleId="Footer">
    <w:name w:val="footer"/>
    <w:basedOn w:val="Normal"/>
    <w:link w:val="FooterChar"/>
    <w:unhideWhenUsed/>
    <w:rsid w:val="004422FB"/>
    <w:pPr>
      <w:tabs>
        <w:tab w:val="center" w:pos="4680"/>
        <w:tab w:val="right" w:pos="9360"/>
      </w:tabs>
    </w:pPr>
  </w:style>
  <w:style w:type="character" w:customStyle="1" w:styleId="FooterChar">
    <w:name w:val="Footer Char"/>
    <w:basedOn w:val="DefaultParagraphFont"/>
    <w:link w:val="Footer"/>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styleId="UnresolvedMention">
    <w:name w:val="Unresolved Mention"/>
    <w:basedOn w:val="DefaultParagraphFont"/>
    <w:uiPriority w:val="99"/>
    <w:semiHidden/>
    <w:unhideWhenUsed/>
    <w:rsid w:val="00F100FC"/>
    <w:rPr>
      <w:color w:val="605E5C"/>
      <w:shd w:val="clear" w:color="auto" w:fill="E1DFDD"/>
    </w:rPr>
  </w:style>
  <w:style w:type="paragraph" w:customStyle="1" w:styleId="p1">
    <w:name w:val="p1"/>
    <w:basedOn w:val="Normal"/>
    <w:rsid w:val="00A75747"/>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vax.com/event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eovax.com/investors/ev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4</cp:revision>
  <dcterms:created xsi:type="dcterms:W3CDTF">2021-08-18T19:59:00Z</dcterms:created>
  <dcterms:modified xsi:type="dcterms:W3CDTF">2021-08-19T16:24:00Z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53123620v2</vt:lpwstr>
  </property>
</Properties>
</file>