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AFC20" w14:textId="77777777" w:rsidR="008D7E3A" w:rsidRDefault="008D7E3A" w:rsidP="008D7E3A">
      <w:pPr>
        <w:ind w:left="144" w:right="144"/>
        <w:rPr>
          <w:sz w:val="20"/>
          <w:szCs w:val="20"/>
        </w:rPr>
      </w:pPr>
      <w:r>
        <w:rPr>
          <w:sz w:val="20"/>
          <w:szCs w:val="20"/>
        </w:rPr>
        <w:t> </w:t>
      </w:r>
    </w:p>
    <w:p w14:paraId="11173570" w14:textId="77777777" w:rsidR="008D7E3A" w:rsidRDefault="008D7E3A" w:rsidP="008D7E3A">
      <w:pPr>
        <w:ind w:left="144" w:right="144"/>
        <w:rPr>
          <w:sz w:val="20"/>
          <w:szCs w:val="20"/>
        </w:rPr>
      </w:pPr>
      <w:r>
        <w:rPr>
          <w:sz w:val="20"/>
          <w:szCs w:val="20"/>
        </w:rPr>
        <w:t> </w:t>
      </w:r>
    </w:p>
    <w:p w14:paraId="4269CD0C" w14:textId="77777777" w:rsidR="008D7E3A" w:rsidRDefault="008D7E3A" w:rsidP="008D7E3A">
      <w:pPr>
        <w:ind w:left="144" w:right="144"/>
        <w:jc w:val="center"/>
        <w:rPr>
          <w:sz w:val="36"/>
          <w:szCs w:val="36"/>
        </w:rPr>
      </w:pPr>
      <w:r>
        <w:rPr>
          <w:b/>
          <w:bCs/>
          <w:sz w:val="36"/>
          <w:szCs w:val="36"/>
        </w:rPr>
        <w:t>SECURITIES AND EXCHANGE COMMISSION</w:t>
      </w:r>
    </w:p>
    <w:p w14:paraId="6FEC2A83" w14:textId="77777777" w:rsidR="008D7E3A" w:rsidRDefault="008D7E3A" w:rsidP="008D7E3A">
      <w:pPr>
        <w:ind w:left="144" w:right="144"/>
        <w:jc w:val="center"/>
        <w:rPr>
          <w:sz w:val="20"/>
          <w:szCs w:val="20"/>
        </w:rPr>
      </w:pPr>
      <w:r>
        <w:rPr>
          <w:b/>
          <w:bCs/>
          <w:sz w:val="20"/>
          <w:szCs w:val="20"/>
        </w:rPr>
        <w:t>WASHINGTON, D.C. 20549</w:t>
      </w:r>
      <w:r>
        <w:rPr>
          <w:sz w:val="20"/>
          <w:szCs w:val="20"/>
        </w:rPr>
        <w:t> </w:t>
      </w:r>
    </w:p>
    <w:p w14:paraId="5227C5AC" w14:textId="77777777" w:rsidR="008D7E3A" w:rsidRDefault="008D7E3A" w:rsidP="008D7E3A">
      <w:pPr>
        <w:ind w:left="144" w:right="144"/>
        <w:jc w:val="center"/>
        <w:rPr>
          <w:sz w:val="20"/>
          <w:szCs w:val="20"/>
        </w:rPr>
      </w:pPr>
      <w:r>
        <w:rPr>
          <w:sz w:val="20"/>
          <w:szCs w:val="20"/>
        </w:rPr>
        <w:t> </w:t>
      </w:r>
    </w:p>
    <w:p w14:paraId="5AD7287B" w14:textId="77777777" w:rsidR="008D7E3A" w:rsidRDefault="00D4356D" w:rsidP="008D7E3A">
      <w:pPr>
        <w:jc w:val="center"/>
      </w:pPr>
      <w:r>
        <w:pict w14:anchorId="6CA29461">
          <v:rect id="_x0000_i1025" style="width:135pt;height:.75pt" o:hrpct="250" o:hralign="center" o:hrstd="t" o:hrnoshade="t" o:hr="t" fillcolor="gray" stroked="f"/>
        </w:pict>
      </w:r>
    </w:p>
    <w:p w14:paraId="0B38DE17" w14:textId="77777777" w:rsidR="008D7E3A" w:rsidRDefault="008D7E3A" w:rsidP="008D7E3A">
      <w:pPr>
        <w:ind w:left="144" w:right="144"/>
        <w:jc w:val="center"/>
        <w:rPr>
          <w:sz w:val="20"/>
          <w:szCs w:val="20"/>
        </w:rPr>
      </w:pPr>
      <w:r>
        <w:rPr>
          <w:sz w:val="20"/>
          <w:szCs w:val="20"/>
        </w:rPr>
        <w:t> </w:t>
      </w:r>
    </w:p>
    <w:p w14:paraId="1FACBEF2" w14:textId="77777777" w:rsidR="008D7E3A" w:rsidRDefault="008D7E3A" w:rsidP="008D7E3A">
      <w:pPr>
        <w:ind w:left="144" w:right="144"/>
        <w:jc w:val="center"/>
        <w:rPr>
          <w:sz w:val="36"/>
          <w:szCs w:val="36"/>
        </w:rPr>
      </w:pPr>
      <w:r>
        <w:rPr>
          <w:b/>
          <w:bCs/>
          <w:sz w:val="36"/>
          <w:szCs w:val="36"/>
        </w:rPr>
        <w:t>FORM 8-K</w:t>
      </w:r>
    </w:p>
    <w:p w14:paraId="4126124C" w14:textId="77777777" w:rsidR="008D7E3A" w:rsidRDefault="008D7E3A" w:rsidP="008D7E3A">
      <w:pPr>
        <w:ind w:left="144" w:right="144"/>
        <w:rPr>
          <w:sz w:val="20"/>
          <w:szCs w:val="20"/>
        </w:rPr>
      </w:pPr>
      <w:r>
        <w:rPr>
          <w:sz w:val="20"/>
          <w:szCs w:val="20"/>
        </w:rPr>
        <w:t> </w:t>
      </w:r>
    </w:p>
    <w:p w14:paraId="6C98B2EA" w14:textId="77777777" w:rsidR="008D7E3A" w:rsidRDefault="008D7E3A" w:rsidP="008D7E3A">
      <w:pPr>
        <w:ind w:left="144" w:right="144"/>
        <w:jc w:val="center"/>
        <w:rPr>
          <w:sz w:val="20"/>
          <w:szCs w:val="20"/>
        </w:rPr>
      </w:pPr>
      <w:r>
        <w:rPr>
          <w:b/>
          <w:bCs/>
          <w:sz w:val="20"/>
          <w:szCs w:val="20"/>
        </w:rPr>
        <w:t>CURRENT REPORT</w:t>
      </w:r>
    </w:p>
    <w:p w14:paraId="3914BBE3" w14:textId="77777777" w:rsidR="008D7E3A" w:rsidRDefault="008D7E3A" w:rsidP="008D7E3A">
      <w:pPr>
        <w:ind w:left="144" w:right="144"/>
        <w:jc w:val="center"/>
        <w:rPr>
          <w:sz w:val="20"/>
          <w:szCs w:val="20"/>
        </w:rPr>
      </w:pPr>
      <w:r>
        <w:rPr>
          <w:b/>
          <w:bCs/>
          <w:sz w:val="20"/>
          <w:szCs w:val="20"/>
        </w:rPr>
        <w:t>Pursuant to Section 13 or 15(d) of the</w:t>
      </w:r>
    </w:p>
    <w:p w14:paraId="6B78B71F" w14:textId="77777777" w:rsidR="008D7E3A" w:rsidRDefault="008D7E3A" w:rsidP="008D7E3A">
      <w:pPr>
        <w:ind w:left="144" w:right="144"/>
        <w:jc w:val="center"/>
        <w:rPr>
          <w:sz w:val="20"/>
          <w:szCs w:val="20"/>
        </w:rPr>
      </w:pPr>
      <w:r>
        <w:rPr>
          <w:b/>
          <w:bCs/>
          <w:sz w:val="20"/>
          <w:szCs w:val="20"/>
        </w:rPr>
        <w:t>Securities Exchange Act of 1934</w:t>
      </w:r>
    </w:p>
    <w:p w14:paraId="1116214B" w14:textId="77777777" w:rsidR="008D7E3A" w:rsidRDefault="008D7E3A" w:rsidP="008D7E3A">
      <w:pPr>
        <w:ind w:left="144" w:right="144"/>
        <w:rPr>
          <w:sz w:val="20"/>
          <w:szCs w:val="20"/>
        </w:rPr>
      </w:pPr>
      <w:r>
        <w:rPr>
          <w:sz w:val="20"/>
          <w:szCs w:val="20"/>
        </w:rPr>
        <w:t> </w:t>
      </w:r>
    </w:p>
    <w:p w14:paraId="1907E5A2" w14:textId="01E076B5" w:rsidR="008D7E3A" w:rsidRDefault="008D7E3A" w:rsidP="008D7E3A">
      <w:pPr>
        <w:ind w:left="144" w:right="144"/>
        <w:jc w:val="center"/>
        <w:rPr>
          <w:sz w:val="20"/>
          <w:szCs w:val="20"/>
        </w:rPr>
      </w:pPr>
      <w:r>
        <w:rPr>
          <w:b/>
          <w:bCs/>
          <w:sz w:val="20"/>
          <w:szCs w:val="20"/>
        </w:rPr>
        <w:t>Date of report (Date of earliest event reported)</w:t>
      </w:r>
      <w:proofErr w:type="gramStart"/>
      <w:r>
        <w:rPr>
          <w:b/>
          <w:bCs/>
          <w:sz w:val="20"/>
          <w:szCs w:val="20"/>
        </w:rPr>
        <w:t>:  </w:t>
      </w:r>
      <w:r w:rsidR="00D93377">
        <w:rPr>
          <w:b/>
          <w:bCs/>
          <w:sz w:val="20"/>
          <w:szCs w:val="20"/>
        </w:rPr>
        <w:t>March</w:t>
      </w:r>
      <w:proofErr w:type="gramEnd"/>
      <w:r w:rsidR="004D4E0A">
        <w:rPr>
          <w:b/>
          <w:bCs/>
          <w:sz w:val="20"/>
          <w:szCs w:val="20"/>
        </w:rPr>
        <w:t xml:space="preserve"> </w:t>
      </w:r>
      <w:r w:rsidR="00F470EC">
        <w:rPr>
          <w:b/>
          <w:bCs/>
          <w:sz w:val="20"/>
          <w:szCs w:val="20"/>
        </w:rPr>
        <w:t>2</w:t>
      </w:r>
      <w:r w:rsidR="00D93377">
        <w:rPr>
          <w:b/>
          <w:bCs/>
          <w:sz w:val="20"/>
          <w:szCs w:val="20"/>
        </w:rPr>
        <w:t>7</w:t>
      </w:r>
      <w:r>
        <w:rPr>
          <w:b/>
          <w:bCs/>
          <w:sz w:val="20"/>
          <w:szCs w:val="20"/>
        </w:rPr>
        <w:t>, 202</w:t>
      </w:r>
      <w:r w:rsidR="00D93377">
        <w:rPr>
          <w:b/>
          <w:bCs/>
          <w:sz w:val="20"/>
          <w:szCs w:val="20"/>
        </w:rPr>
        <w:t>5</w:t>
      </w:r>
    </w:p>
    <w:p w14:paraId="5F0131D8" w14:textId="77777777" w:rsidR="008D7E3A" w:rsidRDefault="008D7E3A" w:rsidP="008D7E3A">
      <w:pPr>
        <w:ind w:left="144" w:right="144"/>
        <w:jc w:val="center"/>
        <w:rPr>
          <w:sz w:val="20"/>
          <w:szCs w:val="20"/>
        </w:rPr>
      </w:pPr>
      <w:r>
        <w:rPr>
          <w:sz w:val="20"/>
          <w:szCs w:val="20"/>
        </w:rPr>
        <w:t> </w:t>
      </w:r>
    </w:p>
    <w:p w14:paraId="4BE21BF0" w14:textId="77777777" w:rsidR="008D7E3A" w:rsidRDefault="00D4356D" w:rsidP="008D7E3A">
      <w:pPr>
        <w:jc w:val="center"/>
      </w:pPr>
      <w:r>
        <w:pict w14:anchorId="34234C18">
          <v:rect id="_x0000_i1026" style="width:135pt;height:.75pt" o:hrpct="250" o:hralign="center" o:hrstd="t" o:hrnoshade="t" o:hr="t" fillcolor="gray" stroked="f"/>
        </w:pict>
      </w:r>
    </w:p>
    <w:p w14:paraId="3C569251" w14:textId="77777777" w:rsidR="008D7E3A" w:rsidRDefault="008D7E3A" w:rsidP="008D7E3A">
      <w:pPr>
        <w:ind w:left="144" w:right="144"/>
        <w:jc w:val="center"/>
        <w:rPr>
          <w:sz w:val="20"/>
          <w:szCs w:val="20"/>
        </w:rPr>
      </w:pPr>
      <w:r>
        <w:rPr>
          <w:sz w:val="20"/>
          <w:szCs w:val="20"/>
        </w:rPr>
        <w:t> </w:t>
      </w:r>
    </w:p>
    <w:p w14:paraId="6037F5E1" w14:textId="77777777" w:rsidR="008D7E3A" w:rsidRDefault="008D7E3A" w:rsidP="008D7E3A">
      <w:pPr>
        <w:ind w:left="144" w:right="144"/>
        <w:jc w:val="center"/>
        <w:rPr>
          <w:sz w:val="36"/>
          <w:szCs w:val="36"/>
        </w:rPr>
      </w:pPr>
      <w:r>
        <w:rPr>
          <w:b/>
          <w:bCs/>
          <w:sz w:val="36"/>
          <w:szCs w:val="36"/>
        </w:rPr>
        <w:t>GEOVAX LABS, INC.</w:t>
      </w:r>
    </w:p>
    <w:p w14:paraId="5DE0AB61" w14:textId="77777777" w:rsidR="008D7E3A" w:rsidRDefault="008D7E3A" w:rsidP="008D7E3A">
      <w:pPr>
        <w:ind w:left="144" w:right="144"/>
        <w:jc w:val="center"/>
        <w:rPr>
          <w:sz w:val="20"/>
          <w:szCs w:val="20"/>
        </w:rPr>
      </w:pPr>
      <w:r>
        <w:rPr>
          <w:b/>
          <w:bCs/>
          <w:sz w:val="20"/>
          <w:szCs w:val="20"/>
        </w:rPr>
        <w:t>(Exact name of registrant as specified in its charter)</w:t>
      </w:r>
    </w:p>
    <w:p w14:paraId="0F1B7EA2"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456"/>
        <w:gridCol w:w="216"/>
        <w:gridCol w:w="3456"/>
        <w:gridCol w:w="216"/>
        <w:gridCol w:w="3456"/>
      </w:tblGrid>
      <w:tr w:rsidR="008D7E3A" w14:paraId="65DC7518" w14:textId="77777777" w:rsidTr="008D7E3A">
        <w:tc>
          <w:tcPr>
            <w:tcW w:w="1600" w:type="pct"/>
            <w:tcMar>
              <w:top w:w="5" w:type="dxa"/>
              <w:left w:w="5" w:type="dxa"/>
              <w:bottom w:w="5" w:type="dxa"/>
              <w:right w:w="5" w:type="dxa"/>
            </w:tcMar>
            <w:hideMark/>
          </w:tcPr>
          <w:p w14:paraId="2CD5D0E3" w14:textId="77777777" w:rsidR="008D7E3A" w:rsidRDefault="008D7E3A">
            <w:pPr>
              <w:jc w:val="center"/>
              <w:rPr>
                <w:color w:val="000000"/>
                <w:sz w:val="20"/>
                <w:szCs w:val="20"/>
              </w:rPr>
            </w:pPr>
            <w:r>
              <w:rPr>
                <w:b/>
                <w:bCs/>
                <w:color w:val="000000"/>
                <w:sz w:val="20"/>
                <w:szCs w:val="20"/>
              </w:rPr>
              <w:t>Delaware</w:t>
            </w:r>
          </w:p>
        </w:tc>
        <w:tc>
          <w:tcPr>
            <w:tcW w:w="100" w:type="pct"/>
            <w:tcMar>
              <w:top w:w="5" w:type="dxa"/>
              <w:left w:w="5" w:type="dxa"/>
              <w:bottom w:w="5" w:type="dxa"/>
              <w:right w:w="5" w:type="dxa"/>
            </w:tcMar>
            <w:vAlign w:val="bottom"/>
            <w:hideMark/>
          </w:tcPr>
          <w:p w14:paraId="21BB6B9C"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E1BFCAA" w14:textId="77777777" w:rsidR="008D7E3A" w:rsidRDefault="008D7E3A">
            <w:pPr>
              <w:jc w:val="center"/>
              <w:rPr>
                <w:color w:val="000000"/>
                <w:sz w:val="20"/>
                <w:szCs w:val="20"/>
              </w:rPr>
            </w:pPr>
            <w:r>
              <w:rPr>
                <w:b/>
                <w:bCs/>
                <w:color w:val="000000"/>
                <w:sz w:val="20"/>
                <w:szCs w:val="20"/>
              </w:rPr>
              <w:t>001-39563</w:t>
            </w:r>
          </w:p>
        </w:tc>
        <w:tc>
          <w:tcPr>
            <w:tcW w:w="100" w:type="pct"/>
            <w:tcMar>
              <w:top w:w="5" w:type="dxa"/>
              <w:left w:w="5" w:type="dxa"/>
              <w:bottom w:w="5" w:type="dxa"/>
              <w:right w:w="5" w:type="dxa"/>
            </w:tcMar>
            <w:vAlign w:val="bottom"/>
            <w:hideMark/>
          </w:tcPr>
          <w:p w14:paraId="02B8DA0E"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08920BD4" w14:textId="77777777" w:rsidR="008D7E3A" w:rsidRDefault="008D7E3A">
            <w:pPr>
              <w:jc w:val="center"/>
              <w:rPr>
                <w:color w:val="000000"/>
                <w:sz w:val="20"/>
                <w:szCs w:val="20"/>
              </w:rPr>
            </w:pPr>
            <w:r>
              <w:rPr>
                <w:b/>
                <w:bCs/>
                <w:color w:val="000000"/>
                <w:sz w:val="20"/>
                <w:szCs w:val="20"/>
              </w:rPr>
              <w:t>87-0455038</w:t>
            </w:r>
          </w:p>
        </w:tc>
      </w:tr>
      <w:tr w:rsidR="008D7E3A" w14:paraId="1B960DB8" w14:textId="77777777" w:rsidTr="008D7E3A">
        <w:tc>
          <w:tcPr>
            <w:tcW w:w="1600" w:type="pct"/>
            <w:tcMar>
              <w:top w:w="5" w:type="dxa"/>
              <w:left w:w="5" w:type="dxa"/>
              <w:bottom w:w="5" w:type="dxa"/>
              <w:right w:w="5" w:type="dxa"/>
            </w:tcMar>
            <w:hideMark/>
          </w:tcPr>
          <w:p w14:paraId="55850994" w14:textId="77777777" w:rsidR="008D7E3A" w:rsidRDefault="008D7E3A">
            <w:pPr>
              <w:jc w:val="center"/>
              <w:rPr>
                <w:color w:val="000000"/>
                <w:sz w:val="20"/>
                <w:szCs w:val="20"/>
              </w:rPr>
            </w:pPr>
            <w:r>
              <w:rPr>
                <w:b/>
                <w:bCs/>
                <w:color w:val="000000"/>
                <w:sz w:val="20"/>
                <w:szCs w:val="20"/>
              </w:rPr>
              <w:t xml:space="preserve">(State or </w:t>
            </w:r>
            <w:proofErr w:type="gramStart"/>
            <w:r>
              <w:rPr>
                <w:b/>
                <w:bCs/>
                <w:color w:val="000000"/>
                <w:sz w:val="20"/>
                <w:szCs w:val="20"/>
              </w:rPr>
              <w:t>other</w:t>
            </w:r>
            <w:proofErr w:type="gramEnd"/>
            <w:r>
              <w:rPr>
                <w:b/>
                <w:bCs/>
                <w:color w:val="000000"/>
                <w:sz w:val="20"/>
                <w:szCs w:val="20"/>
              </w:rPr>
              <w:t xml:space="preserve"> jurisdiction of</w:t>
            </w:r>
          </w:p>
          <w:p w14:paraId="6BCD4496" w14:textId="77777777" w:rsidR="008D7E3A" w:rsidRDefault="008D7E3A">
            <w:pPr>
              <w:jc w:val="center"/>
              <w:rPr>
                <w:color w:val="000000"/>
                <w:sz w:val="20"/>
                <w:szCs w:val="20"/>
              </w:rPr>
            </w:pPr>
            <w:r>
              <w:rPr>
                <w:b/>
                <w:bCs/>
                <w:color w:val="000000"/>
                <w:sz w:val="20"/>
                <w:szCs w:val="20"/>
              </w:rPr>
              <w:t>incorporation or organization)</w:t>
            </w:r>
          </w:p>
        </w:tc>
        <w:tc>
          <w:tcPr>
            <w:tcW w:w="100" w:type="pct"/>
            <w:tcMar>
              <w:top w:w="5" w:type="dxa"/>
              <w:left w:w="5" w:type="dxa"/>
              <w:bottom w:w="5" w:type="dxa"/>
              <w:right w:w="5" w:type="dxa"/>
            </w:tcMar>
            <w:vAlign w:val="bottom"/>
            <w:hideMark/>
          </w:tcPr>
          <w:p w14:paraId="3CCD15D2"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2CADF59" w14:textId="77777777" w:rsidR="008D7E3A" w:rsidRDefault="008D7E3A">
            <w:pPr>
              <w:jc w:val="center"/>
              <w:rPr>
                <w:color w:val="000000"/>
                <w:sz w:val="20"/>
                <w:szCs w:val="20"/>
              </w:rPr>
            </w:pPr>
            <w:r>
              <w:rPr>
                <w:b/>
                <w:bCs/>
                <w:color w:val="000000"/>
                <w:sz w:val="20"/>
                <w:szCs w:val="20"/>
              </w:rPr>
              <w:t>(Commission File No.)</w:t>
            </w:r>
          </w:p>
        </w:tc>
        <w:tc>
          <w:tcPr>
            <w:tcW w:w="100" w:type="pct"/>
            <w:tcMar>
              <w:top w:w="5" w:type="dxa"/>
              <w:left w:w="5" w:type="dxa"/>
              <w:bottom w:w="5" w:type="dxa"/>
              <w:right w:w="5" w:type="dxa"/>
            </w:tcMar>
            <w:vAlign w:val="bottom"/>
            <w:hideMark/>
          </w:tcPr>
          <w:p w14:paraId="5BE72CCD"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4EAE9BA6" w14:textId="77777777" w:rsidR="008D7E3A" w:rsidRDefault="008D7E3A">
            <w:pPr>
              <w:jc w:val="center"/>
              <w:rPr>
                <w:color w:val="000000"/>
                <w:sz w:val="20"/>
                <w:szCs w:val="20"/>
              </w:rPr>
            </w:pPr>
            <w:r>
              <w:rPr>
                <w:b/>
                <w:bCs/>
                <w:color w:val="000000"/>
                <w:sz w:val="20"/>
                <w:szCs w:val="20"/>
              </w:rPr>
              <w:t>(IRS Employee Identification No.)</w:t>
            </w:r>
          </w:p>
        </w:tc>
      </w:tr>
    </w:tbl>
    <w:p w14:paraId="6698FA39" w14:textId="77777777" w:rsidR="008D7E3A" w:rsidRDefault="008D7E3A" w:rsidP="008D7E3A">
      <w:pPr>
        <w:ind w:left="144" w:right="144"/>
        <w:rPr>
          <w:sz w:val="20"/>
          <w:szCs w:val="20"/>
        </w:rPr>
      </w:pPr>
      <w:r>
        <w:rPr>
          <w:sz w:val="20"/>
          <w:szCs w:val="20"/>
        </w:rPr>
        <w:t> </w:t>
      </w:r>
    </w:p>
    <w:p w14:paraId="15C44742" w14:textId="77777777" w:rsidR="008D7E3A" w:rsidRDefault="008D7E3A" w:rsidP="008D7E3A">
      <w:pPr>
        <w:ind w:left="144" w:right="144"/>
        <w:jc w:val="center"/>
        <w:rPr>
          <w:sz w:val="20"/>
          <w:szCs w:val="20"/>
        </w:rPr>
      </w:pPr>
      <w:r>
        <w:rPr>
          <w:b/>
          <w:bCs/>
          <w:sz w:val="20"/>
          <w:szCs w:val="20"/>
        </w:rPr>
        <w:t>1900 Lake Park Drive, Suite 380</w:t>
      </w:r>
    </w:p>
    <w:p w14:paraId="25EE6DB2" w14:textId="77777777" w:rsidR="008D7E3A" w:rsidRDefault="008D7E3A" w:rsidP="008D7E3A">
      <w:pPr>
        <w:ind w:left="144" w:right="144"/>
        <w:jc w:val="center"/>
        <w:rPr>
          <w:sz w:val="20"/>
          <w:szCs w:val="20"/>
        </w:rPr>
      </w:pPr>
      <w:r>
        <w:rPr>
          <w:b/>
          <w:bCs/>
          <w:sz w:val="20"/>
          <w:szCs w:val="20"/>
        </w:rPr>
        <w:t>Smyrna, Georgia 30080</w:t>
      </w:r>
    </w:p>
    <w:p w14:paraId="46F2FA6A" w14:textId="77777777" w:rsidR="008D7E3A" w:rsidRDefault="008D7E3A" w:rsidP="008D7E3A">
      <w:pPr>
        <w:ind w:left="144" w:right="144"/>
        <w:jc w:val="center"/>
        <w:rPr>
          <w:sz w:val="20"/>
          <w:szCs w:val="20"/>
        </w:rPr>
      </w:pPr>
      <w:r>
        <w:rPr>
          <w:b/>
          <w:bCs/>
          <w:sz w:val="20"/>
          <w:szCs w:val="20"/>
        </w:rPr>
        <w:t>(Address of principal executive offices) (Zip code)</w:t>
      </w:r>
    </w:p>
    <w:p w14:paraId="727D898C" w14:textId="77777777" w:rsidR="008D7E3A" w:rsidRDefault="008D7E3A" w:rsidP="008D7E3A">
      <w:pPr>
        <w:ind w:left="144" w:right="144"/>
        <w:rPr>
          <w:sz w:val="20"/>
          <w:szCs w:val="20"/>
        </w:rPr>
      </w:pPr>
      <w:r>
        <w:rPr>
          <w:sz w:val="20"/>
          <w:szCs w:val="20"/>
        </w:rPr>
        <w:t> </w:t>
      </w:r>
    </w:p>
    <w:p w14:paraId="5512C648" w14:textId="77777777" w:rsidR="008D7E3A" w:rsidRDefault="008D7E3A" w:rsidP="008D7E3A">
      <w:pPr>
        <w:ind w:left="144" w:right="144"/>
        <w:jc w:val="center"/>
        <w:rPr>
          <w:sz w:val="20"/>
          <w:szCs w:val="20"/>
        </w:rPr>
      </w:pPr>
      <w:r>
        <w:rPr>
          <w:b/>
          <w:bCs/>
          <w:sz w:val="20"/>
          <w:szCs w:val="20"/>
        </w:rPr>
        <w:t>(678) 384-7220</w:t>
      </w:r>
    </w:p>
    <w:p w14:paraId="4C4D8CE6" w14:textId="77777777" w:rsidR="008D7E3A" w:rsidRDefault="008D7E3A" w:rsidP="008D7E3A">
      <w:pPr>
        <w:ind w:left="144" w:right="144"/>
        <w:jc w:val="center"/>
        <w:rPr>
          <w:sz w:val="20"/>
          <w:szCs w:val="20"/>
        </w:rPr>
      </w:pPr>
      <w:r>
        <w:rPr>
          <w:b/>
          <w:bCs/>
          <w:sz w:val="20"/>
          <w:szCs w:val="20"/>
        </w:rPr>
        <w:t>(Registrant’s telephone number, including area code)</w:t>
      </w:r>
    </w:p>
    <w:p w14:paraId="56233E1A" w14:textId="77777777" w:rsidR="008D7E3A" w:rsidRDefault="008D7E3A" w:rsidP="008D7E3A">
      <w:pPr>
        <w:ind w:left="144" w:right="144"/>
        <w:rPr>
          <w:sz w:val="20"/>
          <w:szCs w:val="20"/>
        </w:rPr>
      </w:pPr>
      <w:r>
        <w:rPr>
          <w:sz w:val="20"/>
          <w:szCs w:val="20"/>
        </w:rPr>
        <w:t>  </w:t>
      </w:r>
    </w:p>
    <w:p w14:paraId="21125087" w14:textId="77777777" w:rsidR="008D7E3A" w:rsidRDefault="008D7E3A" w:rsidP="008D7E3A">
      <w:pPr>
        <w:ind w:left="144" w:right="144"/>
        <w:rPr>
          <w:sz w:val="20"/>
          <w:szCs w:val="20"/>
        </w:rPr>
      </w:pPr>
      <w:r>
        <w:rPr>
          <w:sz w:val="20"/>
          <w:szCs w:val="20"/>
        </w:rPr>
        <w:t>Check the appropriate box below if the Form 8-K filing is intended to simultaneously satisfy the filing obligation of the Registrant under any of the following provisions.</w:t>
      </w:r>
    </w:p>
    <w:p w14:paraId="56A7FFCB" w14:textId="77777777" w:rsidR="008D7E3A" w:rsidRDefault="008D7E3A" w:rsidP="008D7E3A">
      <w:pPr>
        <w:ind w:left="144" w:right="144"/>
        <w:rPr>
          <w:sz w:val="20"/>
          <w:szCs w:val="20"/>
        </w:rPr>
      </w:pPr>
      <w:r>
        <w:rPr>
          <w:sz w:val="20"/>
          <w:szCs w:val="20"/>
        </w:rPr>
        <w:t> </w:t>
      </w:r>
    </w:p>
    <w:p w14:paraId="060CE3CB"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Written communications pursuant to Rule 425 under the Securities Act (17 CFR 230.425)</w:t>
      </w:r>
    </w:p>
    <w:p w14:paraId="378B9C71" w14:textId="77777777" w:rsidR="008D7E3A" w:rsidRDefault="008D7E3A" w:rsidP="008D7E3A">
      <w:pPr>
        <w:ind w:left="144" w:right="144"/>
        <w:rPr>
          <w:sz w:val="20"/>
          <w:szCs w:val="20"/>
        </w:rPr>
      </w:pPr>
      <w:r>
        <w:rPr>
          <w:sz w:val="20"/>
          <w:szCs w:val="20"/>
        </w:rPr>
        <w:t> </w:t>
      </w:r>
    </w:p>
    <w:p w14:paraId="01FD6FA6"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Soliciting material pursuant to Rule 14a-12 under the Exchange Act (17 CFR240.14a-12)</w:t>
      </w:r>
    </w:p>
    <w:p w14:paraId="72B0E98D" w14:textId="77777777" w:rsidR="008D7E3A" w:rsidRDefault="008D7E3A" w:rsidP="008D7E3A">
      <w:pPr>
        <w:ind w:left="144" w:right="144"/>
        <w:rPr>
          <w:sz w:val="20"/>
          <w:szCs w:val="20"/>
        </w:rPr>
      </w:pPr>
      <w:r>
        <w:rPr>
          <w:sz w:val="20"/>
          <w:szCs w:val="20"/>
        </w:rPr>
        <w:t> </w:t>
      </w:r>
    </w:p>
    <w:p w14:paraId="07FCB38D"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14d-2(b) under the Exchange Act (17 CFR 240.14d-2(b)).</w:t>
      </w:r>
    </w:p>
    <w:p w14:paraId="0480CCDE" w14:textId="77777777" w:rsidR="008D7E3A" w:rsidRDefault="008D7E3A" w:rsidP="008D7E3A">
      <w:pPr>
        <w:ind w:left="144" w:right="144"/>
        <w:rPr>
          <w:sz w:val="20"/>
          <w:szCs w:val="20"/>
        </w:rPr>
      </w:pPr>
      <w:r>
        <w:rPr>
          <w:sz w:val="20"/>
          <w:szCs w:val="20"/>
        </w:rPr>
        <w:t> </w:t>
      </w:r>
    </w:p>
    <w:p w14:paraId="5C400D4E"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13e-4(c) under the Exchange Act (17 CFR 240.13(e)-4(c))</w:t>
      </w:r>
    </w:p>
    <w:p w14:paraId="204B4D11" w14:textId="77777777" w:rsidR="008D7E3A" w:rsidRDefault="008D7E3A" w:rsidP="008D7E3A">
      <w:pPr>
        <w:ind w:left="144" w:right="144"/>
        <w:rPr>
          <w:sz w:val="20"/>
          <w:szCs w:val="20"/>
        </w:rPr>
      </w:pPr>
      <w:r>
        <w:rPr>
          <w:sz w:val="20"/>
          <w:szCs w:val="20"/>
        </w:rPr>
        <w:t> </w:t>
      </w:r>
    </w:p>
    <w:p w14:paraId="03D855F4" w14:textId="77777777" w:rsidR="008D7E3A" w:rsidRDefault="008D7E3A" w:rsidP="008D7E3A">
      <w:pPr>
        <w:ind w:left="144" w:right="144"/>
        <w:rPr>
          <w:sz w:val="20"/>
          <w:szCs w:val="20"/>
        </w:rPr>
      </w:pPr>
      <w:r>
        <w:rPr>
          <w:sz w:val="20"/>
          <w:szCs w:val="20"/>
        </w:rPr>
        <w:t>Securities registered pursuant to Section 12(b) of the Act:</w:t>
      </w:r>
    </w:p>
    <w:p w14:paraId="1D661DC7" w14:textId="77777777" w:rsidR="008D7E3A" w:rsidRDefault="008D7E3A" w:rsidP="008D7E3A">
      <w:pPr>
        <w:ind w:left="144" w:right="144"/>
        <w:rPr>
          <w:sz w:val="20"/>
          <w:szCs w:val="20"/>
        </w:rPr>
      </w:pPr>
      <w:r>
        <w:rPr>
          <w:sz w:val="20"/>
          <w:szCs w:val="20"/>
        </w:rPr>
        <w:t> </w:t>
      </w:r>
    </w:p>
    <w:tbl>
      <w:tblPr>
        <w:tblW w:w="4995" w:type="pct"/>
        <w:tblInd w:w="149" w:type="dxa"/>
        <w:tblCellMar>
          <w:left w:w="0" w:type="dxa"/>
          <w:right w:w="0" w:type="dxa"/>
        </w:tblCellMar>
        <w:tblLook w:val="04A0" w:firstRow="1" w:lastRow="0" w:firstColumn="1" w:lastColumn="0" w:noHBand="0" w:noVBand="1"/>
      </w:tblPr>
      <w:tblGrid>
        <w:gridCol w:w="4424"/>
        <w:gridCol w:w="1942"/>
        <w:gridCol w:w="4423"/>
      </w:tblGrid>
      <w:tr w:rsidR="008D7E3A" w14:paraId="27B326FD" w14:textId="77777777" w:rsidTr="008D7E3A">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71910E3E" w14:textId="77777777" w:rsidR="008D7E3A" w:rsidRDefault="008D7E3A">
            <w:pPr>
              <w:jc w:val="center"/>
              <w:rPr>
                <w:color w:val="000000"/>
                <w:sz w:val="20"/>
                <w:szCs w:val="20"/>
              </w:rPr>
            </w:pPr>
            <w:r>
              <w:rPr>
                <w:color w:val="000000"/>
                <w:sz w:val="20"/>
                <w:szCs w:val="20"/>
              </w:rPr>
              <w:t>Title of each class</w:t>
            </w:r>
          </w:p>
        </w:tc>
        <w:tc>
          <w:tcPr>
            <w:tcW w:w="900" w:type="pct"/>
            <w:tcBorders>
              <w:top w:val="nil"/>
              <w:left w:val="nil"/>
              <w:bottom w:val="single" w:sz="6" w:space="0" w:color="000000"/>
              <w:right w:val="nil"/>
            </w:tcBorders>
            <w:tcMar>
              <w:top w:w="5" w:type="dxa"/>
              <w:left w:w="5" w:type="dxa"/>
              <w:bottom w:w="8" w:type="dxa"/>
              <w:right w:w="5" w:type="dxa"/>
            </w:tcMar>
            <w:vAlign w:val="bottom"/>
            <w:hideMark/>
          </w:tcPr>
          <w:p w14:paraId="64DC4E24" w14:textId="77777777" w:rsidR="008D7E3A" w:rsidRDefault="008D7E3A">
            <w:pPr>
              <w:jc w:val="center"/>
              <w:rPr>
                <w:color w:val="000000"/>
                <w:sz w:val="20"/>
                <w:szCs w:val="20"/>
              </w:rPr>
            </w:pPr>
            <w:r>
              <w:rPr>
                <w:color w:val="000000"/>
                <w:sz w:val="20"/>
                <w:szCs w:val="20"/>
              </w:rPr>
              <w:t>Trading</w:t>
            </w:r>
          </w:p>
          <w:p w14:paraId="72AEB163" w14:textId="77777777" w:rsidR="008D7E3A" w:rsidRDefault="008D7E3A">
            <w:pPr>
              <w:jc w:val="center"/>
              <w:rPr>
                <w:color w:val="000000"/>
                <w:sz w:val="20"/>
                <w:szCs w:val="20"/>
              </w:rPr>
            </w:pPr>
            <w:r>
              <w:rPr>
                <w:color w:val="000000"/>
                <w:sz w:val="20"/>
                <w:szCs w:val="20"/>
              </w:rPr>
              <w:t>Symbol(s)</w:t>
            </w:r>
          </w:p>
        </w:tc>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32D81BE6" w14:textId="77777777" w:rsidR="008D7E3A" w:rsidRDefault="008D7E3A">
            <w:pPr>
              <w:jc w:val="center"/>
              <w:rPr>
                <w:color w:val="000000"/>
                <w:sz w:val="20"/>
                <w:szCs w:val="20"/>
              </w:rPr>
            </w:pPr>
            <w:r>
              <w:rPr>
                <w:color w:val="000000"/>
                <w:sz w:val="20"/>
                <w:szCs w:val="20"/>
              </w:rPr>
              <w:t>Name of each exchange on which registered</w:t>
            </w:r>
          </w:p>
        </w:tc>
      </w:tr>
      <w:tr w:rsidR="008D7E3A" w14:paraId="1A046CA1" w14:textId="77777777" w:rsidTr="008D7E3A">
        <w:tc>
          <w:tcPr>
            <w:tcW w:w="2050" w:type="pct"/>
            <w:tcMar>
              <w:top w:w="5" w:type="dxa"/>
              <w:left w:w="5" w:type="dxa"/>
              <w:bottom w:w="5" w:type="dxa"/>
              <w:right w:w="5" w:type="dxa"/>
            </w:tcMar>
            <w:vAlign w:val="center"/>
            <w:hideMark/>
          </w:tcPr>
          <w:p w14:paraId="1EEB88FC" w14:textId="77777777" w:rsidR="008D7E3A" w:rsidRDefault="008D7E3A">
            <w:pPr>
              <w:jc w:val="center"/>
              <w:rPr>
                <w:color w:val="000000"/>
                <w:sz w:val="20"/>
                <w:szCs w:val="20"/>
              </w:rPr>
            </w:pPr>
            <w:r>
              <w:rPr>
                <w:color w:val="000000"/>
                <w:sz w:val="20"/>
                <w:szCs w:val="20"/>
              </w:rPr>
              <w:t>Common Stock, par value $0.001 per share</w:t>
            </w:r>
          </w:p>
        </w:tc>
        <w:tc>
          <w:tcPr>
            <w:tcW w:w="900" w:type="pct"/>
            <w:tcMar>
              <w:top w:w="5" w:type="dxa"/>
              <w:left w:w="5" w:type="dxa"/>
              <w:bottom w:w="5" w:type="dxa"/>
              <w:right w:w="5" w:type="dxa"/>
            </w:tcMar>
            <w:vAlign w:val="center"/>
            <w:hideMark/>
          </w:tcPr>
          <w:p w14:paraId="4CF2F38D" w14:textId="77777777" w:rsidR="008D7E3A" w:rsidRDefault="008D7E3A">
            <w:pPr>
              <w:jc w:val="center"/>
              <w:rPr>
                <w:color w:val="000000"/>
                <w:sz w:val="20"/>
                <w:szCs w:val="20"/>
              </w:rPr>
            </w:pPr>
            <w:r>
              <w:rPr>
                <w:color w:val="000000"/>
                <w:sz w:val="20"/>
                <w:szCs w:val="20"/>
              </w:rPr>
              <w:t>GOVX</w:t>
            </w:r>
          </w:p>
        </w:tc>
        <w:tc>
          <w:tcPr>
            <w:tcW w:w="2050" w:type="pct"/>
            <w:tcMar>
              <w:top w:w="5" w:type="dxa"/>
              <w:left w:w="5" w:type="dxa"/>
              <w:bottom w:w="5" w:type="dxa"/>
              <w:right w:w="5" w:type="dxa"/>
            </w:tcMar>
            <w:vAlign w:val="center"/>
            <w:hideMark/>
          </w:tcPr>
          <w:p w14:paraId="1F76576B" w14:textId="77777777" w:rsidR="008D7E3A" w:rsidRDefault="008D7E3A">
            <w:pPr>
              <w:jc w:val="center"/>
              <w:rPr>
                <w:color w:val="000000"/>
                <w:sz w:val="20"/>
                <w:szCs w:val="20"/>
              </w:rPr>
            </w:pPr>
            <w:r>
              <w:rPr>
                <w:color w:val="000000"/>
                <w:sz w:val="20"/>
                <w:szCs w:val="20"/>
              </w:rPr>
              <w:t>The Nasdaq Capital Market</w:t>
            </w:r>
          </w:p>
        </w:tc>
      </w:tr>
      <w:tr w:rsidR="008D7E3A" w14:paraId="67135A27" w14:textId="77777777" w:rsidTr="008D7E3A">
        <w:tc>
          <w:tcPr>
            <w:tcW w:w="2050" w:type="pct"/>
            <w:tcMar>
              <w:top w:w="5" w:type="dxa"/>
              <w:left w:w="5" w:type="dxa"/>
              <w:bottom w:w="5" w:type="dxa"/>
              <w:right w:w="5" w:type="dxa"/>
            </w:tcMar>
            <w:vAlign w:val="center"/>
            <w:hideMark/>
          </w:tcPr>
          <w:p w14:paraId="36C81E47" w14:textId="77777777" w:rsidR="008D7E3A" w:rsidRDefault="008D7E3A">
            <w:pPr>
              <w:jc w:val="center"/>
              <w:rPr>
                <w:color w:val="000000"/>
                <w:sz w:val="20"/>
                <w:szCs w:val="20"/>
              </w:rPr>
            </w:pPr>
            <w:r>
              <w:rPr>
                <w:color w:val="000000"/>
                <w:sz w:val="20"/>
                <w:szCs w:val="20"/>
              </w:rPr>
              <w:t>Warrants to Purchase Common Stock</w:t>
            </w:r>
          </w:p>
        </w:tc>
        <w:tc>
          <w:tcPr>
            <w:tcW w:w="900" w:type="pct"/>
            <w:tcMar>
              <w:top w:w="5" w:type="dxa"/>
              <w:left w:w="5" w:type="dxa"/>
              <w:bottom w:w="5" w:type="dxa"/>
              <w:right w:w="5" w:type="dxa"/>
            </w:tcMar>
            <w:vAlign w:val="center"/>
            <w:hideMark/>
          </w:tcPr>
          <w:p w14:paraId="363E4FB4" w14:textId="77777777" w:rsidR="008D7E3A" w:rsidRDefault="008D7E3A">
            <w:pPr>
              <w:jc w:val="center"/>
              <w:rPr>
                <w:color w:val="000000"/>
                <w:sz w:val="20"/>
                <w:szCs w:val="20"/>
              </w:rPr>
            </w:pPr>
            <w:r>
              <w:rPr>
                <w:color w:val="000000"/>
                <w:sz w:val="20"/>
                <w:szCs w:val="20"/>
              </w:rPr>
              <w:t>GOVXW</w:t>
            </w:r>
          </w:p>
        </w:tc>
        <w:tc>
          <w:tcPr>
            <w:tcW w:w="2050" w:type="pct"/>
            <w:tcMar>
              <w:top w:w="5" w:type="dxa"/>
              <w:left w:w="5" w:type="dxa"/>
              <w:bottom w:w="5" w:type="dxa"/>
              <w:right w:w="5" w:type="dxa"/>
            </w:tcMar>
            <w:vAlign w:val="center"/>
            <w:hideMark/>
          </w:tcPr>
          <w:p w14:paraId="0F8471ED" w14:textId="77777777" w:rsidR="008D7E3A" w:rsidRDefault="008D7E3A">
            <w:pPr>
              <w:jc w:val="center"/>
              <w:rPr>
                <w:color w:val="000000"/>
                <w:sz w:val="20"/>
                <w:szCs w:val="20"/>
              </w:rPr>
            </w:pPr>
            <w:r>
              <w:rPr>
                <w:color w:val="000000"/>
                <w:sz w:val="20"/>
                <w:szCs w:val="20"/>
              </w:rPr>
              <w:t>The Nasdaq Capital Market</w:t>
            </w:r>
          </w:p>
        </w:tc>
      </w:tr>
    </w:tbl>
    <w:p w14:paraId="6C7667D3" w14:textId="77777777" w:rsidR="008D7E3A" w:rsidRDefault="008D7E3A" w:rsidP="008D7E3A">
      <w:pPr>
        <w:ind w:left="144" w:right="144"/>
        <w:rPr>
          <w:sz w:val="20"/>
          <w:szCs w:val="20"/>
        </w:rPr>
      </w:pPr>
      <w:r>
        <w:rPr>
          <w:sz w:val="20"/>
          <w:szCs w:val="20"/>
        </w:rPr>
        <w:t> </w:t>
      </w:r>
    </w:p>
    <w:p w14:paraId="157A0BCE" w14:textId="77777777" w:rsidR="008D7E3A" w:rsidRDefault="008D7E3A" w:rsidP="008D7E3A">
      <w:pPr>
        <w:ind w:left="144" w:right="144"/>
        <w:rPr>
          <w:sz w:val="20"/>
          <w:szCs w:val="20"/>
        </w:rPr>
      </w:pPr>
      <w:r>
        <w:rPr>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0623A4F2" w14:textId="77777777" w:rsidR="008D7E3A" w:rsidRDefault="008D7E3A" w:rsidP="008D7E3A">
      <w:pPr>
        <w:ind w:left="144" w:right="144"/>
        <w:rPr>
          <w:sz w:val="20"/>
          <w:szCs w:val="20"/>
        </w:rPr>
      </w:pPr>
      <w:r>
        <w:rPr>
          <w:sz w:val="20"/>
          <w:szCs w:val="20"/>
        </w:rPr>
        <w:t xml:space="preserve">Emerging growth company </w:t>
      </w:r>
      <w:r>
        <w:rPr>
          <w:rFonts w:ascii="Segoe UI Symbol" w:eastAsia="Segoe UI Symbol" w:hAnsi="Segoe UI Symbol" w:cs="Segoe UI Symbol"/>
          <w:sz w:val="20"/>
          <w:szCs w:val="20"/>
        </w:rPr>
        <w:t>☐</w:t>
      </w:r>
    </w:p>
    <w:p w14:paraId="207B99DA" w14:textId="77777777" w:rsidR="008D7E3A" w:rsidRDefault="008D7E3A" w:rsidP="008D7E3A">
      <w:pPr>
        <w:ind w:left="144" w:right="144"/>
        <w:rPr>
          <w:sz w:val="20"/>
          <w:szCs w:val="20"/>
        </w:rPr>
      </w:pPr>
      <w:r>
        <w:rPr>
          <w:sz w:val="20"/>
          <w:szCs w:val="20"/>
        </w:rPr>
        <w:t> </w:t>
      </w:r>
    </w:p>
    <w:p w14:paraId="40CA140A" w14:textId="77777777" w:rsidR="008D7E3A" w:rsidRDefault="008D7E3A" w:rsidP="008D7E3A">
      <w:pPr>
        <w:ind w:left="144" w:right="144"/>
        <w:rPr>
          <w:sz w:val="20"/>
          <w:szCs w:val="20"/>
        </w:rPr>
      </w:pPr>
      <w:r>
        <w:rPr>
          <w:sz w:val="20"/>
          <w:szCs w:val="20"/>
        </w:rP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Symbol" w:eastAsia="Segoe UI Symbol" w:hAnsi="Segoe UI Symbol" w:cs="Segoe UI Symbol"/>
          <w:sz w:val="20"/>
          <w:szCs w:val="20"/>
        </w:rPr>
        <w:t>☐</w:t>
      </w:r>
    </w:p>
    <w:p w14:paraId="236FA74A" w14:textId="77777777" w:rsidR="008D7E3A" w:rsidRDefault="008D7E3A" w:rsidP="008D7E3A">
      <w:pPr>
        <w:ind w:left="144" w:right="144"/>
        <w:rPr>
          <w:sz w:val="20"/>
          <w:szCs w:val="20"/>
        </w:rPr>
      </w:pPr>
      <w:r>
        <w:rPr>
          <w:sz w:val="20"/>
          <w:szCs w:val="20"/>
        </w:rPr>
        <w:t> </w:t>
      </w:r>
    </w:p>
    <w:p w14:paraId="06EB8D1A" w14:textId="68ACC2AE" w:rsidR="003F3DEB" w:rsidRPr="003F3DEB" w:rsidRDefault="008D7E3A" w:rsidP="003F3DEB">
      <w:pPr>
        <w:ind w:left="144" w:right="144"/>
        <w:rPr>
          <w:sz w:val="20"/>
          <w:szCs w:val="20"/>
        </w:rPr>
      </w:pPr>
      <w:r>
        <w:rPr>
          <w:sz w:val="20"/>
          <w:szCs w:val="20"/>
        </w:rPr>
        <w:br w:type="page"/>
      </w:r>
      <w:r w:rsidR="003F3DEB" w:rsidRPr="00C36B57">
        <w:rPr>
          <w:b/>
          <w:sz w:val="20"/>
          <w:szCs w:val="20"/>
        </w:rPr>
        <w:lastRenderedPageBreak/>
        <w:t>Forward-Looking Statements</w:t>
      </w:r>
    </w:p>
    <w:p w14:paraId="1590C75C" w14:textId="77777777" w:rsidR="003F3DEB" w:rsidRDefault="003F3DEB" w:rsidP="003F3DEB">
      <w:pPr>
        <w:ind w:left="144" w:right="144"/>
        <w:jc w:val="both"/>
        <w:rPr>
          <w:sz w:val="20"/>
          <w:szCs w:val="20"/>
        </w:rPr>
      </w:pPr>
    </w:p>
    <w:p w14:paraId="6E3CCEA3" w14:textId="77777777" w:rsidR="003F3DEB" w:rsidRDefault="003F3DEB" w:rsidP="003F3DEB">
      <w:pPr>
        <w:ind w:left="144" w:right="144"/>
        <w:jc w:val="both"/>
        <w:rPr>
          <w:sz w:val="20"/>
          <w:szCs w:val="20"/>
        </w:rPr>
      </w:pPr>
      <w:r>
        <w:rPr>
          <w:sz w:val="20"/>
          <w:szCs w:val="20"/>
        </w:rPr>
        <w:t>This Current Report on Form 8-K and other reports filed by the Company from time to time with the Securities and Exchange Commission (collectively the “Filings”) contain forward-looking statements and information that are based upon beliefs of, and information currently available to, the Company’s management as well as estimates and assumptions made by the Company’s management. When used in the Filings the words “anticipate”, “believe”, “estimate”, “expect”, “future”, “intend”, “plan” or the negative of these terms and similar expressions as they relate to the Company or the Company’s management identify forward looking statements.  Such statements reflect the current view of the Company with respect to future events and are subject to risks, uncertainties, assumptions and other factors relating to the Company’s industry, operations and results of operations and any businesses that may be acquired by the Company. Should one or more of these risks or uncertainties materialize, or should the underlying assumptions prove incorrect, actual results may differ significantly from those anticipated, believed, estimated, expected, intended or planned. Except as required by law, the Company does not undertake to update its forward-looking statements.</w:t>
      </w:r>
    </w:p>
    <w:p w14:paraId="357A8194" w14:textId="062B9709" w:rsidR="003F3DEB" w:rsidRDefault="003F3DEB" w:rsidP="00241DEF">
      <w:pPr>
        <w:ind w:right="144"/>
        <w:rPr>
          <w:sz w:val="20"/>
          <w:szCs w:val="20"/>
        </w:rPr>
      </w:pP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3F3DEB" w14:paraId="5220B9A4" w14:textId="77777777" w:rsidTr="00272EA7">
        <w:tc>
          <w:tcPr>
            <w:tcW w:w="1260" w:type="dxa"/>
            <w:tcMar>
              <w:top w:w="5" w:type="dxa"/>
              <w:left w:w="5" w:type="dxa"/>
              <w:bottom w:w="5" w:type="dxa"/>
              <w:right w:w="5" w:type="dxa"/>
            </w:tcMar>
            <w:hideMark/>
          </w:tcPr>
          <w:p w14:paraId="37C9D000" w14:textId="77777777" w:rsidR="003F3DEB" w:rsidRDefault="003F3DEB" w:rsidP="00272EA7">
            <w:pPr>
              <w:rPr>
                <w:color w:val="000000"/>
                <w:sz w:val="20"/>
                <w:szCs w:val="20"/>
              </w:rPr>
            </w:pPr>
            <w:r>
              <w:rPr>
                <w:b/>
                <w:bCs/>
                <w:color w:val="000000"/>
                <w:sz w:val="20"/>
                <w:szCs w:val="20"/>
              </w:rPr>
              <w:t xml:space="preserve">Item 2.02 </w:t>
            </w:r>
          </w:p>
        </w:tc>
        <w:tc>
          <w:tcPr>
            <w:tcW w:w="0" w:type="auto"/>
            <w:tcMar>
              <w:top w:w="5" w:type="dxa"/>
              <w:left w:w="5" w:type="dxa"/>
              <w:bottom w:w="5" w:type="dxa"/>
              <w:right w:w="5" w:type="dxa"/>
            </w:tcMar>
            <w:hideMark/>
          </w:tcPr>
          <w:p w14:paraId="543D638B" w14:textId="77777777" w:rsidR="003F3DEB" w:rsidRDefault="003F3DEB" w:rsidP="00272EA7">
            <w:pPr>
              <w:rPr>
                <w:color w:val="000000"/>
                <w:sz w:val="20"/>
                <w:szCs w:val="20"/>
              </w:rPr>
            </w:pPr>
            <w:r>
              <w:rPr>
                <w:b/>
                <w:bCs/>
                <w:color w:val="000000"/>
                <w:sz w:val="20"/>
                <w:szCs w:val="20"/>
              </w:rPr>
              <w:t>Results of Operations and Financial Condition.</w:t>
            </w:r>
          </w:p>
        </w:tc>
      </w:tr>
    </w:tbl>
    <w:p w14:paraId="4C7EA2DE" w14:textId="77777777" w:rsidR="003F3DEB" w:rsidRDefault="003F3DEB" w:rsidP="003F3DEB">
      <w:pPr>
        <w:ind w:left="144" w:right="144"/>
        <w:rPr>
          <w:sz w:val="20"/>
          <w:szCs w:val="20"/>
        </w:rPr>
      </w:pPr>
      <w:r>
        <w:rPr>
          <w:b/>
          <w:bCs/>
          <w:i/>
          <w:iCs/>
          <w:sz w:val="20"/>
          <w:szCs w:val="20"/>
        </w:rPr>
        <w:t> </w:t>
      </w:r>
      <w:r>
        <w:rPr>
          <w:sz w:val="20"/>
          <w:szCs w:val="20"/>
        </w:rPr>
        <w:t> </w:t>
      </w:r>
    </w:p>
    <w:p w14:paraId="313AF3C5" w14:textId="4110A7C0" w:rsidR="003F3DEB" w:rsidRDefault="003F3DEB" w:rsidP="003F3DEB">
      <w:pPr>
        <w:ind w:left="144" w:right="144"/>
        <w:jc w:val="both"/>
        <w:rPr>
          <w:sz w:val="20"/>
          <w:szCs w:val="20"/>
        </w:rPr>
      </w:pPr>
      <w:r>
        <w:rPr>
          <w:bCs/>
          <w:sz w:val="20"/>
          <w:szCs w:val="20"/>
        </w:rPr>
        <w:t xml:space="preserve">On </w:t>
      </w:r>
      <w:r w:rsidR="00D93377">
        <w:rPr>
          <w:bCs/>
          <w:sz w:val="20"/>
          <w:szCs w:val="20"/>
        </w:rPr>
        <w:t>March</w:t>
      </w:r>
      <w:r>
        <w:rPr>
          <w:bCs/>
          <w:sz w:val="20"/>
          <w:szCs w:val="20"/>
        </w:rPr>
        <w:t xml:space="preserve"> </w:t>
      </w:r>
      <w:r w:rsidR="00F470EC">
        <w:rPr>
          <w:bCs/>
          <w:sz w:val="20"/>
          <w:szCs w:val="20"/>
        </w:rPr>
        <w:t>2</w:t>
      </w:r>
      <w:r w:rsidR="00D93377">
        <w:rPr>
          <w:bCs/>
          <w:sz w:val="20"/>
          <w:szCs w:val="20"/>
        </w:rPr>
        <w:t>7</w:t>
      </w:r>
      <w:r>
        <w:rPr>
          <w:bCs/>
          <w:sz w:val="20"/>
          <w:szCs w:val="20"/>
        </w:rPr>
        <w:t>, 202</w:t>
      </w:r>
      <w:r w:rsidR="00D93377">
        <w:rPr>
          <w:bCs/>
          <w:sz w:val="20"/>
          <w:szCs w:val="20"/>
        </w:rPr>
        <w:t>5</w:t>
      </w:r>
      <w:r>
        <w:rPr>
          <w:bCs/>
          <w:sz w:val="20"/>
          <w:szCs w:val="20"/>
        </w:rPr>
        <w:t xml:space="preserve">, </w:t>
      </w:r>
      <w:r w:rsidR="00EC3F8A">
        <w:rPr>
          <w:bCs/>
          <w:sz w:val="20"/>
          <w:szCs w:val="20"/>
        </w:rPr>
        <w:t xml:space="preserve">GeoVax Labs, Inc. (the “Company”) </w:t>
      </w:r>
      <w:r>
        <w:rPr>
          <w:bCs/>
          <w:sz w:val="20"/>
          <w:szCs w:val="20"/>
        </w:rPr>
        <w:t xml:space="preserve">issued a press release reporting </w:t>
      </w:r>
      <w:r w:rsidR="00EC3F8A">
        <w:rPr>
          <w:bCs/>
          <w:sz w:val="20"/>
          <w:szCs w:val="20"/>
        </w:rPr>
        <w:t xml:space="preserve">its </w:t>
      </w:r>
      <w:r>
        <w:rPr>
          <w:bCs/>
          <w:sz w:val="20"/>
          <w:szCs w:val="20"/>
        </w:rPr>
        <w:t xml:space="preserve">results of operations for the </w:t>
      </w:r>
      <w:r w:rsidR="00F470EC">
        <w:rPr>
          <w:bCs/>
          <w:sz w:val="20"/>
          <w:szCs w:val="20"/>
        </w:rPr>
        <w:t>year</w:t>
      </w:r>
      <w:r>
        <w:rPr>
          <w:bCs/>
          <w:sz w:val="20"/>
          <w:szCs w:val="20"/>
        </w:rPr>
        <w:t xml:space="preserve"> ended </w:t>
      </w:r>
      <w:r w:rsidR="00F470EC">
        <w:rPr>
          <w:bCs/>
          <w:sz w:val="20"/>
          <w:szCs w:val="20"/>
        </w:rPr>
        <w:t>December 31</w:t>
      </w:r>
      <w:r>
        <w:rPr>
          <w:bCs/>
          <w:sz w:val="20"/>
          <w:szCs w:val="20"/>
        </w:rPr>
        <w:t>, 202</w:t>
      </w:r>
      <w:r w:rsidR="00D93377">
        <w:rPr>
          <w:bCs/>
          <w:sz w:val="20"/>
          <w:szCs w:val="20"/>
        </w:rPr>
        <w:t>4</w:t>
      </w:r>
      <w:r>
        <w:rPr>
          <w:bCs/>
          <w:sz w:val="20"/>
          <w:szCs w:val="20"/>
        </w:rPr>
        <w:t>.</w:t>
      </w:r>
      <w:r>
        <w:rPr>
          <w:sz w:val="20"/>
          <w:szCs w:val="20"/>
        </w:rPr>
        <w:t xml:space="preserve"> A copy of the press release is attached as Exhibit 99.</w:t>
      </w:r>
      <w:r w:rsidR="00EC3F8A">
        <w:rPr>
          <w:sz w:val="20"/>
          <w:szCs w:val="20"/>
        </w:rPr>
        <w:t>1</w:t>
      </w:r>
      <w:r>
        <w:rPr>
          <w:sz w:val="20"/>
          <w:szCs w:val="20"/>
        </w:rPr>
        <w:t xml:space="preserve"> to this Current Report on Form 8-K</w:t>
      </w:r>
      <w:r>
        <w:rPr>
          <w:bCs/>
          <w:sz w:val="20"/>
          <w:szCs w:val="20"/>
        </w:rPr>
        <w:t>.</w:t>
      </w:r>
      <w:r>
        <w:rPr>
          <w:sz w:val="20"/>
          <w:szCs w:val="20"/>
        </w:rPr>
        <w:t xml:space="preserve"> </w:t>
      </w:r>
    </w:p>
    <w:p w14:paraId="1C41C417" w14:textId="77777777" w:rsidR="00F404C4" w:rsidRDefault="00F404C4" w:rsidP="00C36B57">
      <w:pPr>
        <w:ind w:right="144"/>
        <w:rPr>
          <w:sz w:val="20"/>
          <w:szCs w:val="20"/>
        </w:rPr>
      </w:pPr>
    </w:p>
    <w:p w14:paraId="413D330F" w14:textId="77777777" w:rsidR="00BB7014" w:rsidRDefault="00BB7014" w:rsidP="00F100FC">
      <w:pPr>
        <w:ind w:right="144"/>
        <w:jc w:val="both"/>
        <w:rPr>
          <w:sz w:val="20"/>
          <w:szCs w:val="20"/>
        </w:rPr>
      </w:pP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8D7E3A" w14:paraId="188F57B2" w14:textId="77777777" w:rsidTr="008D7E3A">
        <w:tc>
          <w:tcPr>
            <w:tcW w:w="1260" w:type="dxa"/>
            <w:tcMar>
              <w:top w:w="5" w:type="dxa"/>
              <w:left w:w="5" w:type="dxa"/>
              <w:bottom w:w="5" w:type="dxa"/>
              <w:right w:w="5" w:type="dxa"/>
            </w:tcMar>
            <w:hideMark/>
          </w:tcPr>
          <w:p w14:paraId="3842769B" w14:textId="77777777" w:rsidR="008D7E3A" w:rsidRDefault="008D7E3A">
            <w:pPr>
              <w:rPr>
                <w:color w:val="000000"/>
                <w:sz w:val="20"/>
                <w:szCs w:val="20"/>
              </w:rPr>
            </w:pPr>
            <w:r>
              <w:rPr>
                <w:b/>
                <w:bCs/>
                <w:color w:val="000000"/>
                <w:sz w:val="20"/>
                <w:szCs w:val="20"/>
              </w:rPr>
              <w:t xml:space="preserve">Item 9.01 </w:t>
            </w:r>
          </w:p>
        </w:tc>
        <w:tc>
          <w:tcPr>
            <w:tcW w:w="0" w:type="auto"/>
            <w:tcMar>
              <w:top w:w="5" w:type="dxa"/>
              <w:left w:w="5" w:type="dxa"/>
              <w:bottom w:w="5" w:type="dxa"/>
              <w:right w:w="5" w:type="dxa"/>
            </w:tcMar>
            <w:hideMark/>
          </w:tcPr>
          <w:p w14:paraId="68CCEC3A" w14:textId="77777777" w:rsidR="008D7E3A" w:rsidRDefault="008D7E3A">
            <w:pPr>
              <w:rPr>
                <w:color w:val="000000"/>
                <w:sz w:val="20"/>
                <w:szCs w:val="20"/>
              </w:rPr>
            </w:pPr>
            <w:r>
              <w:rPr>
                <w:b/>
                <w:bCs/>
                <w:color w:val="000000"/>
                <w:sz w:val="20"/>
                <w:szCs w:val="20"/>
              </w:rPr>
              <w:t>Financial Statements and Exhibits.</w:t>
            </w:r>
          </w:p>
        </w:tc>
      </w:tr>
    </w:tbl>
    <w:p w14:paraId="4E240D59" w14:textId="77777777" w:rsidR="008D7E3A" w:rsidRDefault="008D7E3A" w:rsidP="008D7E3A">
      <w:pPr>
        <w:ind w:left="144" w:right="144"/>
        <w:rPr>
          <w:sz w:val="20"/>
          <w:szCs w:val="20"/>
        </w:rPr>
      </w:pPr>
      <w:r>
        <w:rPr>
          <w:b/>
          <w:bCs/>
          <w:sz w:val="20"/>
          <w:szCs w:val="20"/>
        </w:rPr>
        <w:t> </w:t>
      </w:r>
    </w:p>
    <w:p w14:paraId="5820E653" w14:textId="77777777" w:rsidR="008D7E3A" w:rsidRDefault="008D7E3A" w:rsidP="008D7E3A">
      <w:pPr>
        <w:ind w:left="144" w:right="144"/>
        <w:rPr>
          <w:sz w:val="20"/>
          <w:szCs w:val="20"/>
        </w:rPr>
      </w:pPr>
      <w:r>
        <w:rPr>
          <w:sz w:val="20"/>
          <w:szCs w:val="20"/>
        </w:rPr>
        <w:t>(d)     Exhibits</w:t>
      </w:r>
    </w:p>
    <w:tbl>
      <w:tblPr>
        <w:tblW w:w="5000" w:type="pct"/>
        <w:tblInd w:w="149" w:type="dxa"/>
        <w:tblCellMar>
          <w:left w:w="0" w:type="dxa"/>
          <w:right w:w="0" w:type="dxa"/>
        </w:tblCellMar>
        <w:tblLook w:val="04A0" w:firstRow="1" w:lastRow="0" w:firstColumn="1" w:lastColumn="0" w:noHBand="0" w:noVBand="1"/>
      </w:tblPr>
      <w:tblGrid>
        <w:gridCol w:w="1296"/>
        <w:gridCol w:w="9504"/>
      </w:tblGrid>
      <w:tr w:rsidR="008D7E3A" w14:paraId="30A37310" w14:textId="77777777" w:rsidTr="008D7E3A">
        <w:tc>
          <w:tcPr>
            <w:tcW w:w="600" w:type="pct"/>
            <w:tcMar>
              <w:top w:w="5" w:type="dxa"/>
              <w:left w:w="5" w:type="dxa"/>
              <w:bottom w:w="5" w:type="dxa"/>
              <w:right w:w="5" w:type="dxa"/>
            </w:tcMar>
            <w:hideMark/>
          </w:tcPr>
          <w:p w14:paraId="49316493" w14:textId="762331DA" w:rsidR="008D7E3A" w:rsidRDefault="008D7E3A">
            <w:pPr>
              <w:ind w:left="180"/>
              <w:rPr>
                <w:color w:val="000000"/>
                <w:sz w:val="20"/>
                <w:szCs w:val="20"/>
              </w:rPr>
            </w:pPr>
            <w:r>
              <w:rPr>
                <w:sz w:val="20"/>
                <w:szCs w:val="20"/>
              </w:rPr>
              <w:t> </w:t>
            </w:r>
            <w:r>
              <w:rPr>
                <w:color w:val="000000"/>
                <w:sz w:val="20"/>
                <w:szCs w:val="20"/>
                <w:u w:val="single" w:color="000000"/>
              </w:rPr>
              <w:t>Exhibit No.</w:t>
            </w:r>
          </w:p>
        </w:tc>
        <w:tc>
          <w:tcPr>
            <w:tcW w:w="4400" w:type="pct"/>
            <w:tcMar>
              <w:top w:w="5" w:type="dxa"/>
              <w:left w:w="5" w:type="dxa"/>
              <w:bottom w:w="5" w:type="dxa"/>
              <w:right w:w="5" w:type="dxa"/>
            </w:tcMar>
            <w:hideMark/>
          </w:tcPr>
          <w:p w14:paraId="06EC41C2" w14:textId="77777777" w:rsidR="008D7E3A" w:rsidRDefault="008D7E3A">
            <w:pPr>
              <w:rPr>
                <w:color w:val="000000"/>
                <w:sz w:val="20"/>
                <w:szCs w:val="20"/>
              </w:rPr>
            </w:pPr>
            <w:r>
              <w:rPr>
                <w:color w:val="000000"/>
                <w:sz w:val="20"/>
                <w:szCs w:val="20"/>
                <w:u w:val="single" w:color="000000"/>
              </w:rPr>
              <w:t>Description</w:t>
            </w:r>
          </w:p>
        </w:tc>
      </w:tr>
      <w:tr w:rsidR="008D7E3A" w14:paraId="32E025F6" w14:textId="77777777" w:rsidTr="008D7E3A">
        <w:tc>
          <w:tcPr>
            <w:tcW w:w="600" w:type="pct"/>
            <w:tcMar>
              <w:top w:w="5" w:type="dxa"/>
              <w:left w:w="5" w:type="dxa"/>
              <w:bottom w:w="5" w:type="dxa"/>
              <w:right w:w="5" w:type="dxa"/>
            </w:tcMar>
            <w:hideMark/>
          </w:tcPr>
          <w:p w14:paraId="09820083" w14:textId="77777777" w:rsidR="008D7E3A" w:rsidRDefault="008D7E3A">
            <w:pPr>
              <w:ind w:left="180"/>
              <w:rPr>
                <w:sz w:val="20"/>
                <w:szCs w:val="20"/>
              </w:rPr>
            </w:pPr>
            <w:r>
              <w:rPr>
                <w:sz w:val="20"/>
                <w:szCs w:val="20"/>
              </w:rPr>
              <w:t>99.1</w:t>
            </w:r>
          </w:p>
        </w:tc>
        <w:tc>
          <w:tcPr>
            <w:tcW w:w="4400" w:type="pct"/>
            <w:tcMar>
              <w:top w:w="5" w:type="dxa"/>
              <w:left w:w="5" w:type="dxa"/>
              <w:bottom w:w="5" w:type="dxa"/>
              <w:right w:w="5" w:type="dxa"/>
            </w:tcMar>
            <w:hideMark/>
          </w:tcPr>
          <w:p w14:paraId="5B5A50F1" w14:textId="2058CE3F" w:rsidR="008D7E3A" w:rsidRDefault="00EC3F8A" w:rsidP="00EC3F8A">
            <w:pPr>
              <w:rPr>
                <w:sz w:val="20"/>
                <w:szCs w:val="20"/>
              </w:rPr>
            </w:pPr>
            <w:r w:rsidRPr="00B02C57">
              <w:rPr>
                <w:bCs/>
                <w:sz w:val="20"/>
                <w:szCs w:val="20"/>
              </w:rPr>
              <w:t xml:space="preserve">Press Release dated </w:t>
            </w:r>
            <w:r w:rsidR="00D93377">
              <w:rPr>
                <w:bCs/>
                <w:sz w:val="20"/>
                <w:szCs w:val="20"/>
              </w:rPr>
              <w:t>March</w:t>
            </w:r>
            <w:r w:rsidR="00B02C57" w:rsidRPr="00B02C57">
              <w:rPr>
                <w:bCs/>
                <w:sz w:val="20"/>
                <w:szCs w:val="20"/>
              </w:rPr>
              <w:t xml:space="preserve"> </w:t>
            </w:r>
            <w:r w:rsidR="00F470EC">
              <w:rPr>
                <w:bCs/>
                <w:sz w:val="20"/>
                <w:szCs w:val="20"/>
              </w:rPr>
              <w:t>2</w:t>
            </w:r>
            <w:r w:rsidR="00D93377">
              <w:rPr>
                <w:bCs/>
                <w:sz w:val="20"/>
                <w:szCs w:val="20"/>
              </w:rPr>
              <w:t>7</w:t>
            </w:r>
            <w:r w:rsidRPr="00B02C57">
              <w:rPr>
                <w:bCs/>
                <w:sz w:val="20"/>
                <w:szCs w:val="20"/>
              </w:rPr>
              <w:t>, 202</w:t>
            </w:r>
            <w:r w:rsidR="00D93377">
              <w:rPr>
                <w:bCs/>
                <w:sz w:val="20"/>
                <w:szCs w:val="20"/>
              </w:rPr>
              <w:t>5</w:t>
            </w:r>
          </w:p>
        </w:tc>
      </w:tr>
      <w:tr w:rsidR="00BC6263" w14:paraId="2D4C5F1F" w14:textId="77777777" w:rsidTr="008D7E3A">
        <w:tc>
          <w:tcPr>
            <w:tcW w:w="600" w:type="pct"/>
            <w:tcMar>
              <w:top w:w="5" w:type="dxa"/>
              <w:left w:w="5" w:type="dxa"/>
              <w:bottom w:w="5" w:type="dxa"/>
              <w:right w:w="5" w:type="dxa"/>
            </w:tcMar>
          </w:tcPr>
          <w:p w14:paraId="21AF7946" w14:textId="40C001CF" w:rsidR="00BC6263" w:rsidRDefault="00BC6263" w:rsidP="00BC6263">
            <w:pPr>
              <w:ind w:left="180"/>
              <w:rPr>
                <w:sz w:val="20"/>
                <w:szCs w:val="20"/>
              </w:rPr>
            </w:pPr>
            <w:r>
              <w:rPr>
                <w:sz w:val="20"/>
                <w:szCs w:val="20"/>
              </w:rPr>
              <w:t>104</w:t>
            </w:r>
          </w:p>
        </w:tc>
        <w:tc>
          <w:tcPr>
            <w:tcW w:w="4400" w:type="pct"/>
            <w:tcMar>
              <w:top w:w="5" w:type="dxa"/>
              <w:left w:w="5" w:type="dxa"/>
              <w:bottom w:w="5" w:type="dxa"/>
              <w:right w:w="5" w:type="dxa"/>
            </w:tcMar>
          </w:tcPr>
          <w:p w14:paraId="63CC3CFB" w14:textId="584ABFD9" w:rsidR="00BC6263" w:rsidRDefault="00BC6263" w:rsidP="00BC6263">
            <w:pPr>
              <w:rPr>
                <w:sz w:val="20"/>
                <w:szCs w:val="20"/>
              </w:rPr>
            </w:pPr>
            <w:r w:rsidRPr="00A7711D">
              <w:rPr>
                <w:sz w:val="20"/>
                <w:szCs w:val="20"/>
              </w:rPr>
              <w:t>Cover Page Interactive Data File (embedded within the Inline XBRL document)</w:t>
            </w:r>
          </w:p>
        </w:tc>
      </w:tr>
    </w:tbl>
    <w:p w14:paraId="3B0F25FB" w14:textId="77777777" w:rsidR="00BB7014" w:rsidRDefault="00BB7014" w:rsidP="008D7E3A">
      <w:pPr>
        <w:ind w:left="144" w:right="144"/>
        <w:jc w:val="center"/>
        <w:rPr>
          <w:b/>
          <w:bCs/>
          <w:sz w:val="20"/>
          <w:szCs w:val="20"/>
        </w:rPr>
      </w:pPr>
    </w:p>
    <w:p w14:paraId="21C94549" w14:textId="77777777" w:rsidR="00BB7014" w:rsidRDefault="00BB7014" w:rsidP="008D7E3A">
      <w:pPr>
        <w:ind w:left="144" w:right="144"/>
        <w:jc w:val="center"/>
        <w:rPr>
          <w:b/>
          <w:bCs/>
          <w:sz w:val="20"/>
          <w:szCs w:val="20"/>
        </w:rPr>
      </w:pPr>
    </w:p>
    <w:p w14:paraId="11D34B34" w14:textId="77777777" w:rsidR="00BB7014" w:rsidRDefault="00BB7014" w:rsidP="008D7E3A">
      <w:pPr>
        <w:ind w:left="144" w:right="144"/>
        <w:jc w:val="center"/>
        <w:rPr>
          <w:b/>
          <w:bCs/>
          <w:sz w:val="20"/>
          <w:szCs w:val="20"/>
        </w:rPr>
      </w:pPr>
    </w:p>
    <w:p w14:paraId="7154307C" w14:textId="77777777" w:rsidR="00BB7014" w:rsidRDefault="00BB7014" w:rsidP="008D7E3A">
      <w:pPr>
        <w:ind w:left="144" w:right="144"/>
        <w:jc w:val="center"/>
        <w:rPr>
          <w:b/>
          <w:bCs/>
          <w:sz w:val="20"/>
          <w:szCs w:val="20"/>
        </w:rPr>
      </w:pPr>
    </w:p>
    <w:p w14:paraId="637EFEC5" w14:textId="77777777" w:rsidR="00C36B57" w:rsidRDefault="00C36B57">
      <w:pPr>
        <w:rPr>
          <w:b/>
          <w:bCs/>
          <w:sz w:val="20"/>
          <w:szCs w:val="20"/>
        </w:rPr>
      </w:pPr>
      <w:r>
        <w:rPr>
          <w:b/>
          <w:bCs/>
          <w:sz w:val="20"/>
          <w:szCs w:val="20"/>
        </w:rPr>
        <w:br w:type="page"/>
      </w:r>
    </w:p>
    <w:p w14:paraId="7F943D3B" w14:textId="4471F98A" w:rsidR="008D7E3A" w:rsidRDefault="008D7E3A" w:rsidP="008D7E3A">
      <w:pPr>
        <w:ind w:left="144" w:right="144"/>
        <w:jc w:val="center"/>
        <w:rPr>
          <w:sz w:val="20"/>
          <w:szCs w:val="20"/>
        </w:rPr>
      </w:pPr>
      <w:r>
        <w:rPr>
          <w:b/>
          <w:bCs/>
          <w:sz w:val="20"/>
          <w:szCs w:val="20"/>
        </w:rPr>
        <w:lastRenderedPageBreak/>
        <w:t>SIGNATURE</w:t>
      </w:r>
    </w:p>
    <w:p w14:paraId="74FE07D3" w14:textId="77777777" w:rsidR="008D7E3A" w:rsidRDefault="008D7E3A" w:rsidP="008D7E3A">
      <w:pPr>
        <w:ind w:left="144" w:right="144"/>
        <w:rPr>
          <w:sz w:val="20"/>
          <w:szCs w:val="20"/>
        </w:rPr>
      </w:pPr>
      <w:r>
        <w:rPr>
          <w:sz w:val="20"/>
          <w:szCs w:val="20"/>
        </w:rPr>
        <w:t> </w:t>
      </w:r>
    </w:p>
    <w:p w14:paraId="507F328C" w14:textId="77777777" w:rsidR="008D7E3A" w:rsidRDefault="008D7E3A" w:rsidP="008D7E3A">
      <w:pPr>
        <w:ind w:left="144" w:right="144"/>
        <w:rPr>
          <w:sz w:val="20"/>
          <w:szCs w:val="20"/>
        </w:rPr>
      </w:pPr>
      <w:r>
        <w:rPr>
          <w:sz w:val="20"/>
          <w:szCs w:val="20"/>
        </w:rPr>
        <w:t>Pursuant to the requirements of the Securities Exchange Act of 1934, the Registrant has duly caused this report to be signed on its behalf by the undersigned hereunto duly authorized.</w:t>
      </w:r>
    </w:p>
    <w:p w14:paraId="3AC2F94E" w14:textId="77777777" w:rsidR="008D7E3A" w:rsidRDefault="008D7E3A" w:rsidP="008D7E3A">
      <w:pPr>
        <w:ind w:left="144" w:right="144"/>
        <w:rPr>
          <w:sz w:val="20"/>
          <w:szCs w:val="20"/>
        </w:rPr>
      </w:pPr>
      <w:r>
        <w:rPr>
          <w:sz w:val="20"/>
          <w:szCs w:val="20"/>
        </w:rPr>
        <w:t> </w:t>
      </w:r>
    </w:p>
    <w:p w14:paraId="64E2F402" w14:textId="6D6D2BD6" w:rsidR="008D7E3A" w:rsidRDefault="008D7E3A" w:rsidP="008D7E3A">
      <w:pPr>
        <w:ind w:left="144" w:right="144"/>
        <w:rPr>
          <w:sz w:val="20"/>
          <w:szCs w:val="20"/>
        </w:rPr>
      </w:pPr>
      <w:r>
        <w:rPr>
          <w:sz w:val="20"/>
          <w:szCs w:val="20"/>
        </w:rPr>
        <w:t xml:space="preserve">Date: </w:t>
      </w:r>
      <w:r w:rsidR="00387407">
        <w:rPr>
          <w:sz w:val="20"/>
          <w:szCs w:val="20"/>
        </w:rPr>
        <w:t>March</w:t>
      </w:r>
      <w:r w:rsidR="004D4E0A">
        <w:rPr>
          <w:sz w:val="20"/>
          <w:szCs w:val="20"/>
        </w:rPr>
        <w:t xml:space="preserve"> </w:t>
      </w:r>
      <w:r w:rsidR="00D93377">
        <w:rPr>
          <w:sz w:val="20"/>
          <w:szCs w:val="20"/>
        </w:rPr>
        <w:t>28</w:t>
      </w:r>
      <w:r>
        <w:rPr>
          <w:sz w:val="20"/>
          <w:szCs w:val="20"/>
        </w:rPr>
        <w:t>, 202</w:t>
      </w:r>
      <w:r w:rsidR="00D93377">
        <w:rPr>
          <w:sz w:val="20"/>
          <w:szCs w:val="20"/>
        </w:rPr>
        <w:t>5</w:t>
      </w:r>
    </w:p>
    <w:p w14:paraId="71B7E649"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0"/>
        <w:gridCol w:w="335"/>
        <w:gridCol w:w="3780"/>
        <w:gridCol w:w="1285"/>
      </w:tblGrid>
      <w:tr w:rsidR="008D7E3A" w14:paraId="30F84C9B" w14:textId="77777777" w:rsidTr="008D7E3A">
        <w:tc>
          <w:tcPr>
            <w:tcW w:w="2500" w:type="pct"/>
            <w:tcMar>
              <w:top w:w="5" w:type="dxa"/>
              <w:left w:w="5" w:type="dxa"/>
              <w:bottom w:w="5" w:type="dxa"/>
              <w:right w:w="5" w:type="dxa"/>
            </w:tcMar>
            <w:hideMark/>
          </w:tcPr>
          <w:p w14:paraId="370A7E7F"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28A3B145" w14:textId="77777777" w:rsidR="008D7E3A" w:rsidRDefault="008D7E3A">
            <w:pPr>
              <w:rPr>
                <w:color w:val="000000"/>
                <w:sz w:val="20"/>
                <w:szCs w:val="20"/>
              </w:rPr>
            </w:pPr>
            <w:r>
              <w:rPr>
                <w:color w:val="000000"/>
                <w:sz w:val="20"/>
                <w:szCs w:val="20"/>
              </w:rPr>
              <w:t>GEOVAX LABS, INC.</w:t>
            </w:r>
          </w:p>
        </w:tc>
        <w:tc>
          <w:tcPr>
            <w:tcW w:w="595" w:type="pct"/>
            <w:tcMar>
              <w:top w:w="5" w:type="dxa"/>
              <w:left w:w="5" w:type="dxa"/>
              <w:bottom w:w="5" w:type="dxa"/>
              <w:right w:w="5" w:type="dxa"/>
            </w:tcMar>
            <w:hideMark/>
          </w:tcPr>
          <w:p w14:paraId="2AD46375" w14:textId="77777777" w:rsidR="008D7E3A" w:rsidRDefault="008D7E3A">
            <w:pPr>
              <w:rPr>
                <w:color w:val="000000"/>
                <w:sz w:val="20"/>
                <w:szCs w:val="20"/>
              </w:rPr>
            </w:pPr>
            <w:r>
              <w:rPr>
                <w:color w:val="000000"/>
                <w:sz w:val="20"/>
                <w:szCs w:val="20"/>
              </w:rPr>
              <w:t> </w:t>
            </w:r>
          </w:p>
        </w:tc>
      </w:tr>
      <w:tr w:rsidR="008D7E3A" w14:paraId="3738A2D0" w14:textId="77777777" w:rsidTr="008D7E3A">
        <w:tc>
          <w:tcPr>
            <w:tcW w:w="2500" w:type="pct"/>
            <w:tcMar>
              <w:top w:w="5" w:type="dxa"/>
              <w:left w:w="5" w:type="dxa"/>
              <w:bottom w:w="5" w:type="dxa"/>
              <w:right w:w="5" w:type="dxa"/>
            </w:tcMar>
            <w:hideMark/>
          </w:tcPr>
          <w:p w14:paraId="409FACA0"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48AE598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3AE77D9" w14:textId="77777777" w:rsidR="008D7E3A" w:rsidRDefault="008D7E3A">
            <w:pPr>
              <w:rPr>
                <w:color w:val="000000"/>
                <w:sz w:val="20"/>
                <w:szCs w:val="20"/>
              </w:rPr>
            </w:pPr>
            <w:r>
              <w:rPr>
                <w:color w:val="000000"/>
                <w:sz w:val="20"/>
                <w:szCs w:val="20"/>
              </w:rPr>
              <w:t> </w:t>
            </w:r>
          </w:p>
        </w:tc>
      </w:tr>
      <w:tr w:rsidR="008D7E3A" w14:paraId="4F849B23" w14:textId="77777777" w:rsidTr="008D7E3A">
        <w:tc>
          <w:tcPr>
            <w:tcW w:w="2500" w:type="pct"/>
            <w:tcMar>
              <w:top w:w="5" w:type="dxa"/>
              <w:left w:w="5" w:type="dxa"/>
              <w:bottom w:w="5" w:type="dxa"/>
              <w:right w:w="5" w:type="dxa"/>
            </w:tcMar>
            <w:hideMark/>
          </w:tcPr>
          <w:p w14:paraId="12CADD62"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0B9BA796"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D78D4B2" w14:textId="77777777" w:rsidR="008D7E3A" w:rsidRDefault="008D7E3A">
            <w:pPr>
              <w:rPr>
                <w:color w:val="000000"/>
                <w:sz w:val="20"/>
                <w:szCs w:val="20"/>
              </w:rPr>
            </w:pPr>
            <w:r>
              <w:rPr>
                <w:color w:val="000000"/>
                <w:sz w:val="20"/>
                <w:szCs w:val="20"/>
              </w:rPr>
              <w:t> </w:t>
            </w:r>
          </w:p>
        </w:tc>
      </w:tr>
      <w:tr w:rsidR="008D7E3A" w14:paraId="04C3C72F" w14:textId="77777777" w:rsidTr="008D7E3A">
        <w:tc>
          <w:tcPr>
            <w:tcW w:w="2500" w:type="pct"/>
            <w:tcMar>
              <w:top w:w="5" w:type="dxa"/>
              <w:left w:w="5" w:type="dxa"/>
              <w:bottom w:w="5" w:type="dxa"/>
              <w:right w:w="5" w:type="dxa"/>
            </w:tcMar>
            <w:hideMark/>
          </w:tcPr>
          <w:p w14:paraId="2D406BE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B783CC2" w14:textId="77777777" w:rsidR="008D7E3A" w:rsidRDefault="008D7E3A">
            <w:pPr>
              <w:rPr>
                <w:color w:val="000000"/>
                <w:sz w:val="20"/>
                <w:szCs w:val="20"/>
              </w:rPr>
            </w:pPr>
            <w:r>
              <w:rPr>
                <w:color w:val="000000"/>
                <w:sz w:val="20"/>
                <w:szCs w:val="20"/>
              </w:rPr>
              <w:t>By:</w:t>
            </w:r>
          </w:p>
        </w:tc>
        <w:tc>
          <w:tcPr>
            <w:tcW w:w="1750" w:type="pct"/>
            <w:tcBorders>
              <w:top w:val="nil"/>
              <w:left w:val="nil"/>
              <w:bottom w:val="single" w:sz="6" w:space="0" w:color="000000"/>
              <w:right w:val="nil"/>
            </w:tcBorders>
            <w:tcMar>
              <w:top w:w="5" w:type="dxa"/>
              <w:left w:w="5" w:type="dxa"/>
              <w:bottom w:w="8" w:type="dxa"/>
              <w:right w:w="5" w:type="dxa"/>
            </w:tcMar>
            <w:hideMark/>
          </w:tcPr>
          <w:p w14:paraId="6EBFAF06" w14:textId="77777777" w:rsidR="008D7E3A" w:rsidRDefault="008D7E3A">
            <w:pPr>
              <w:rPr>
                <w:color w:val="000000"/>
                <w:sz w:val="20"/>
                <w:szCs w:val="20"/>
              </w:rPr>
            </w:pPr>
            <w:r>
              <w:rPr>
                <w:color w:val="000000"/>
                <w:sz w:val="20"/>
                <w:szCs w:val="20"/>
              </w:rPr>
              <w:t>/s/ Mark W. Reynolds</w:t>
            </w:r>
          </w:p>
        </w:tc>
        <w:tc>
          <w:tcPr>
            <w:tcW w:w="595" w:type="pct"/>
            <w:tcMar>
              <w:top w:w="5" w:type="dxa"/>
              <w:left w:w="5" w:type="dxa"/>
              <w:bottom w:w="5" w:type="dxa"/>
              <w:right w:w="5" w:type="dxa"/>
            </w:tcMar>
            <w:hideMark/>
          </w:tcPr>
          <w:p w14:paraId="4AAA5D22" w14:textId="77777777" w:rsidR="008D7E3A" w:rsidRDefault="008D7E3A">
            <w:pPr>
              <w:rPr>
                <w:color w:val="000000"/>
                <w:sz w:val="20"/>
                <w:szCs w:val="20"/>
              </w:rPr>
            </w:pPr>
            <w:r>
              <w:rPr>
                <w:color w:val="000000"/>
                <w:sz w:val="20"/>
                <w:szCs w:val="20"/>
              </w:rPr>
              <w:t> </w:t>
            </w:r>
          </w:p>
        </w:tc>
      </w:tr>
      <w:tr w:rsidR="008D7E3A" w14:paraId="70400E79" w14:textId="77777777" w:rsidTr="008D7E3A">
        <w:tc>
          <w:tcPr>
            <w:tcW w:w="2500" w:type="pct"/>
            <w:tcMar>
              <w:top w:w="5" w:type="dxa"/>
              <w:left w:w="5" w:type="dxa"/>
              <w:bottom w:w="5" w:type="dxa"/>
              <w:right w:w="5" w:type="dxa"/>
            </w:tcMar>
            <w:hideMark/>
          </w:tcPr>
          <w:p w14:paraId="65BD03C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F46E1DB"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vAlign w:val="bottom"/>
            <w:hideMark/>
          </w:tcPr>
          <w:p w14:paraId="7D534BFF" w14:textId="77777777" w:rsidR="008D7E3A" w:rsidRDefault="008D7E3A">
            <w:pPr>
              <w:rPr>
                <w:color w:val="000000"/>
                <w:sz w:val="20"/>
                <w:szCs w:val="20"/>
              </w:rPr>
            </w:pPr>
            <w:r>
              <w:rPr>
                <w:color w:val="000000"/>
                <w:sz w:val="20"/>
                <w:szCs w:val="20"/>
              </w:rPr>
              <w:t>Mark W. Reynolds</w:t>
            </w:r>
          </w:p>
        </w:tc>
        <w:tc>
          <w:tcPr>
            <w:tcW w:w="595" w:type="pct"/>
            <w:tcMar>
              <w:top w:w="5" w:type="dxa"/>
              <w:left w:w="5" w:type="dxa"/>
              <w:bottom w:w="5" w:type="dxa"/>
              <w:right w:w="5" w:type="dxa"/>
            </w:tcMar>
            <w:hideMark/>
          </w:tcPr>
          <w:p w14:paraId="7F9773BD" w14:textId="77777777" w:rsidR="008D7E3A" w:rsidRDefault="008D7E3A">
            <w:pPr>
              <w:rPr>
                <w:color w:val="000000"/>
                <w:sz w:val="20"/>
                <w:szCs w:val="20"/>
              </w:rPr>
            </w:pPr>
            <w:r>
              <w:rPr>
                <w:color w:val="000000"/>
                <w:sz w:val="20"/>
                <w:szCs w:val="20"/>
              </w:rPr>
              <w:t> </w:t>
            </w:r>
          </w:p>
        </w:tc>
      </w:tr>
      <w:tr w:rsidR="008D7E3A" w14:paraId="1A236024" w14:textId="77777777" w:rsidTr="008D7E3A">
        <w:tc>
          <w:tcPr>
            <w:tcW w:w="2500" w:type="pct"/>
            <w:tcMar>
              <w:top w:w="5" w:type="dxa"/>
              <w:left w:w="5" w:type="dxa"/>
              <w:bottom w:w="5" w:type="dxa"/>
              <w:right w:w="5" w:type="dxa"/>
            </w:tcMar>
            <w:hideMark/>
          </w:tcPr>
          <w:p w14:paraId="647818B0"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E5804F5"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41C30FDC" w14:textId="77777777" w:rsidR="008D7E3A" w:rsidRDefault="008D7E3A">
            <w:pPr>
              <w:rPr>
                <w:color w:val="000000"/>
                <w:sz w:val="20"/>
                <w:szCs w:val="20"/>
              </w:rPr>
            </w:pPr>
            <w:r>
              <w:rPr>
                <w:color w:val="000000"/>
                <w:sz w:val="20"/>
                <w:szCs w:val="20"/>
              </w:rPr>
              <w:t>Chief Financial Officer</w:t>
            </w:r>
          </w:p>
        </w:tc>
        <w:tc>
          <w:tcPr>
            <w:tcW w:w="595" w:type="pct"/>
            <w:tcMar>
              <w:top w:w="5" w:type="dxa"/>
              <w:left w:w="5" w:type="dxa"/>
              <w:bottom w:w="5" w:type="dxa"/>
              <w:right w:w="5" w:type="dxa"/>
            </w:tcMar>
            <w:hideMark/>
          </w:tcPr>
          <w:p w14:paraId="73443147" w14:textId="77777777" w:rsidR="008D7E3A" w:rsidRDefault="008D7E3A">
            <w:pPr>
              <w:rPr>
                <w:color w:val="000000"/>
                <w:sz w:val="20"/>
                <w:szCs w:val="20"/>
              </w:rPr>
            </w:pPr>
            <w:r>
              <w:rPr>
                <w:color w:val="000000"/>
                <w:sz w:val="20"/>
                <w:szCs w:val="20"/>
              </w:rPr>
              <w:t> </w:t>
            </w:r>
          </w:p>
        </w:tc>
      </w:tr>
      <w:tr w:rsidR="008D7E3A" w14:paraId="0ED9B5DF" w14:textId="77777777" w:rsidTr="008D7E3A">
        <w:tc>
          <w:tcPr>
            <w:tcW w:w="2500" w:type="pct"/>
            <w:tcMar>
              <w:top w:w="5" w:type="dxa"/>
              <w:left w:w="5" w:type="dxa"/>
              <w:bottom w:w="5" w:type="dxa"/>
              <w:right w:w="5" w:type="dxa"/>
            </w:tcMar>
            <w:hideMark/>
          </w:tcPr>
          <w:p w14:paraId="5A2BF58E"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378366E"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15CCFEB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74557E43" w14:textId="77777777" w:rsidR="008D7E3A" w:rsidRDefault="008D7E3A">
            <w:pPr>
              <w:rPr>
                <w:color w:val="000000"/>
                <w:sz w:val="20"/>
                <w:szCs w:val="20"/>
              </w:rPr>
            </w:pPr>
            <w:r>
              <w:rPr>
                <w:color w:val="000000"/>
                <w:sz w:val="20"/>
                <w:szCs w:val="20"/>
              </w:rPr>
              <w:t> </w:t>
            </w:r>
          </w:p>
        </w:tc>
      </w:tr>
    </w:tbl>
    <w:p w14:paraId="5122E448" w14:textId="77777777" w:rsidR="008D7E3A" w:rsidRDefault="008D7E3A" w:rsidP="008D7E3A">
      <w:pPr>
        <w:ind w:left="144" w:right="144"/>
        <w:rPr>
          <w:sz w:val="20"/>
          <w:szCs w:val="20"/>
        </w:rPr>
      </w:pPr>
    </w:p>
    <w:p w14:paraId="57541089" w14:textId="77777777" w:rsidR="007F536F" w:rsidRDefault="007F536F" w:rsidP="008D7E3A">
      <w:pPr>
        <w:sectPr w:rsidR="007F536F">
          <w:footerReference w:type="default" r:id="rId8"/>
          <w:pgSz w:w="12240" w:h="15840"/>
          <w:pgMar w:top="576" w:right="720" w:bottom="576" w:left="720" w:header="144" w:footer="432" w:gutter="0"/>
          <w:cols w:space="720"/>
        </w:sectPr>
      </w:pPr>
    </w:p>
    <w:p w14:paraId="74BB1038" w14:textId="3B358094" w:rsidR="007F536F" w:rsidRPr="007F536F" w:rsidRDefault="007F536F" w:rsidP="007F536F">
      <w:pPr>
        <w:jc w:val="center"/>
        <w:rPr>
          <w:b/>
          <w:color w:val="FF0000"/>
          <w:sz w:val="32"/>
          <w:szCs w:val="32"/>
        </w:rPr>
      </w:pPr>
      <w:r w:rsidRPr="007F536F">
        <w:rPr>
          <w:b/>
          <w:noProof/>
          <w:color w:val="FF0000"/>
          <w:sz w:val="32"/>
          <w:szCs w:val="32"/>
        </w:rPr>
        <w:lastRenderedPageBreak/>
        <mc:AlternateContent>
          <mc:Choice Requires="wps">
            <w:drawing>
              <wp:anchor distT="45720" distB="45720" distL="114300" distR="114300" simplePos="0" relativeHeight="251659264" behindDoc="1" locked="0" layoutInCell="1" allowOverlap="1" wp14:anchorId="0E928237" wp14:editId="75E8D6EA">
                <wp:simplePos x="0" y="0"/>
                <wp:positionH relativeFrom="column">
                  <wp:posOffset>3987165</wp:posOffset>
                </wp:positionH>
                <wp:positionV relativeFrom="paragraph">
                  <wp:posOffset>-409575</wp:posOffset>
                </wp:positionV>
                <wp:extent cx="2360930" cy="1404620"/>
                <wp:effectExtent l="0" t="0" r="698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00BFD69" w14:textId="746AC40D" w:rsidR="007F536F" w:rsidRPr="007F536F" w:rsidRDefault="007F536F" w:rsidP="007F536F">
                            <w:pPr>
                              <w:jc w:val="right"/>
                              <w:rPr>
                                <w:b/>
                                <w:bCs/>
                              </w:rPr>
                            </w:pPr>
                            <w:r w:rsidRPr="007F536F">
                              <w:rPr>
                                <w:b/>
                                <w:bCs/>
                              </w:rPr>
                              <w:t>Exhibit 99.1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928237" id="_x0000_t202" coordsize="21600,21600" o:spt="202" path="m,l,21600r21600,l21600,xe">
                <v:stroke joinstyle="miter"/>
                <v:path gradientshapeok="t" o:connecttype="rect"/>
              </v:shapetype>
              <v:shape id="Text Box 2" o:spid="_x0000_s1026" type="#_x0000_t202" style="position:absolute;left:0;text-align:left;margin-left:313.95pt;margin-top:-32.2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" stroked="f">
                <v:textbox style="mso-fit-shape-to-text:t">
                  <w:txbxContent>
                    <w:p w14:paraId="600BFD69" w14:textId="746AC40D" w:rsidR="007F536F" w:rsidRPr="007F536F" w:rsidRDefault="007F536F" w:rsidP="007F536F">
                      <w:pPr>
                        <w:jc w:val="right"/>
                        <w:rPr>
                          <w:b/>
                          <w:bCs/>
                        </w:rPr>
                      </w:pPr>
                      <w:r w:rsidRPr="007F536F">
                        <w:rPr>
                          <w:b/>
                          <w:bCs/>
                        </w:rPr>
                        <w:t>Exhibit 99.1</w:t>
                      </w:r>
                    </w:p>
                  </w:txbxContent>
                </v:textbox>
              </v:shape>
            </w:pict>
          </mc:Fallback>
        </mc:AlternateContent>
      </w:r>
    </w:p>
    <w:p w14:paraId="476A1992" w14:textId="77777777" w:rsidR="007F536F" w:rsidRPr="007F536F" w:rsidRDefault="007F536F" w:rsidP="007F536F">
      <w:pPr>
        <w:jc w:val="center"/>
        <w:rPr>
          <w:b/>
          <w:color w:val="000000"/>
          <w:sz w:val="40"/>
          <w:szCs w:val="40"/>
        </w:rPr>
      </w:pPr>
      <w:r w:rsidRPr="007F536F">
        <w:rPr>
          <w:b/>
          <w:color w:val="000000"/>
          <w:sz w:val="40"/>
          <w:szCs w:val="40"/>
        </w:rPr>
        <w:t>GeoVax Reports 2024 Year-End Financial Results</w:t>
      </w:r>
    </w:p>
    <w:p w14:paraId="4C63DF2A" w14:textId="77777777" w:rsidR="007F536F" w:rsidRPr="007F536F" w:rsidRDefault="007F536F" w:rsidP="007F536F">
      <w:pPr>
        <w:jc w:val="center"/>
        <w:rPr>
          <w:b/>
          <w:color w:val="000000"/>
          <w:sz w:val="40"/>
          <w:szCs w:val="40"/>
        </w:rPr>
      </w:pPr>
      <w:r w:rsidRPr="007F536F">
        <w:rPr>
          <w:b/>
          <w:color w:val="000000"/>
          <w:sz w:val="40"/>
          <w:szCs w:val="40"/>
        </w:rPr>
        <w:t>and Provides Business Update</w:t>
      </w:r>
    </w:p>
    <w:p w14:paraId="2E752207" w14:textId="77777777" w:rsidR="007F536F" w:rsidRPr="007F536F" w:rsidRDefault="007F536F" w:rsidP="007F536F">
      <w:pPr>
        <w:rPr>
          <w:bCs/>
          <w:i/>
          <w:iCs/>
          <w:color w:val="000000"/>
          <w:sz w:val="22"/>
          <w:szCs w:val="22"/>
        </w:rPr>
      </w:pPr>
    </w:p>
    <w:p w14:paraId="5EA7433A" w14:textId="77777777" w:rsidR="007F536F" w:rsidRPr="007F536F" w:rsidRDefault="007F536F" w:rsidP="007F536F">
      <w:pPr>
        <w:jc w:val="center"/>
        <w:rPr>
          <w:bCs/>
          <w:i/>
          <w:iCs/>
          <w:color w:val="000000"/>
          <w:sz w:val="22"/>
          <w:szCs w:val="22"/>
        </w:rPr>
      </w:pPr>
      <w:r w:rsidRPr="007F536F">
        <w:rPr>
          <w:bCs/>
          <w:i/>
          <w:iCs/>
          <w:color w:val="000000"/>
          <w:sz w:val="22"/>
          <w:szCs w:val="22"/>
        </w:rPr>
        <w:t>GEO-CM04S1 BARDA/Project NextGen Phase 2b trial preparations ongoing with manufacturing of clinical trial materials underway and clinical sites confirmed</w:t>
      </w:r>
    </w:p>
    <w:p w14:paraId="51CAFC5C" w14:textId="77777777" w:rsidR="007F536F" w:rsidRPr="007F536F" w:rsidRDefault="007F536F" w:rsidP="007F536F">
      <w:pPr>
        <w:jc w:val="center"/>
        <w:rPr>
          <w:bCs/>
          <w:i/>
          <w:iCs/>
          <w:color w:val="000000"/>
          <w:sz w:val="22"/>
          <w:szCs w:val="22"/>
        </w:rPr>
      </w:pPr>
    </w:p>
    <w:p w14:paraId="73402BA9" w14:textId="77777777" w:rsidR="007F536F" w:rsidRPr="007F536F" w:rsidRDefault="007F536F" w:rsidP="007F536F">
      <w:pPr>
        <w:jc w:val="center"/>
        <w:rPr>
          <w:bCs/>
          <w:i/>
          <w:iCs/>
          <w:color w:val="000000"/>
          <w:sz w:val="22"/>
          <w:szCs w:val="22"/>
        </w:rPr>
      </w:pPr>
      <w:r w:rsidRPr="007F536F">
        <w:rPr>
          <w:bCs/>
          <w:i/>
          <w:iCs/>
          <w:color w:val="000000"/>
          <w:sz w:val="22"/>
          <w:szCs w:val="22"/>
        </w:rPr>
        <w:t xml:space="preserve">Additional data evaluating GEO-CM04S1 as </w:t>
      </w:r>
      <w:r w:rsidRPr="007F536F">
        <w:rPr>
          <w:rFonts w:eastAsia="Calibri"/>
          <w:i/>
          <w:iCs/>
          <w:kern w:val="2"/>
          <w:sz w:val="22"/>
          <w:szCs w:val="22"/>
          <w14:ligatures w14:val="standardContextual"/>
        </w:rPr>
        <w:t xml:space="preserve">booster to mRNA vaccines in healthy adults expected in </w:t>
      </w:r>
      <w:r w:rsidRPr="007F536F">
        <w:rPr>
          <w:bCs/>
          <w:i/>
          <w:iCs/>
          <w:color w:val="000000"/>
          <w:sz w:val="22"/>
          <w:szCs w:val="22"/>
        </w:rPr>
        <w:t xml:space="preserve">first half of 2025 </w:t>
      </w:r>
    </w:p>
    <w:p w14:paraId="7FD7F537" w14:textId="77777777" w:rsidR="007F536F" w:rsidRPr="007F536F" w:rsidRDefault="007F536F" w:rsidP="007F536F">
      <w:pPr>
        <w:jc w:val="center"/>
        <w:rPr>
          <w:bCs/>
          <w:i/>
          <w:iCs/>
          <w:color w:val="000000"/>
          <w:sz w:val="22"/>
          <w:szCs w:val="22"/>
        </w:rPr>
      </w:pPr>
    </w:p>
    <w:p w14:paraId="1AE744E1" w14:textId="77777777" w:rsidR="007F536F" w:rsidRPr="007F536F" w:rsidRDefault="007F536F" w:rsidP="007F536F">
      <w:pPr>
        <w:jc w:val="center"/>
        <w:rPr>
          <w:bCs/>
          <w:i/>
          <w:iCs/>
          <w:color w:val="000000"/>
          <w:sz w:val="22"/>
          <w:szCs w:val="22"/>
        </w:rPr>
      </w:pPr>
      <w:r w:rsidRPr="007F536F">
        <w:rPr>
          <w:bCs/>
          <w:i/>
          <w:iCs/>
          <w:color w:val="000000"/>
          <w:sz w:val="22"/>
          <w:szCs w:val="22"/>
        </w:rPr>
        <w:t>Clinical evaluation of GEO-MVA, vaccine candidate for protection against Mpox and Smallpox, expected to begin in second half of 2025</w:t>
      </w:r>
    </w:p>
    <w:p w14:paraId="354A35FE" w14:textId="77777777" w:rsidR="007F536F" w:rsidRPr="007F536F" w:rsidRDefault="007F536F" w:rsidP="007F536F">
      <w:pPr>
        <w:jc w:val="center"/>
        <w:rPr>
          <w:bCs/>
          <w:i/>
          <w:iCs/>
          <w:color w:val="000000"/>
          <w:sz w:val="22"/>
          <w:szCs w:val="22"/>
        </w:rPr>
      </w:pPr>
    </w:p>
    <w:p w14:paraId="7B062B55" w14:textId="77777777" w:rsidR="007F536F" w:rsidRPr="007F536F" w:rsidRDefault="007F536F" w:rsidP="007F536F">
      <w:pPr>
        <w:jc w:val="center"/>
        <w:rPr>
          <w:bCs/>
          <w:i/>
          <w:iCs/>
          <w:color w:val="000000"/>
          <w:sz w:val="22"/>
          <w:szCs w:val="22"/>
        </w:rPr>
      </w:pPr>
      <w:r w:rsidRPr="007F536F">
        <w:rPr>
          <w:bCs/>
          <w:i/>
          <w:iCs/>
          <w:color w:val="000000"/>
          <w:sz w:val="22"/>
          <w:szCs w:val="22"/>
        </w:rPr>
        <w:t>Planning underway for Phase 2 clinical trial of Gedeptin</w:t>
      </w:r>
      <w:r w:rsidRPr="007F536F">
        <w:rPr>
          <w:bCs/>
          <w:i/>
          <w:iCs/>
          <w:color w:val="000000"/>
          <w:sz w:val="22"/>
          <w:szCs w:val="22"/>
          <w:vertAlign w:val="superscript"/>
        </w:rPr>
        <w:t>®</w:t>
      </w:r>
      <w:r w:rsidRPr="007F536F">
        <w:rPr>
          <w:bCs/>
          <w:i/>
          <w:iCs/>
          <w:color w:val="000000"/>
          <w:sz w:val="22"/>
          <w:szCs w:val="22"/>
        </w:rPr>
        <w:t xml:space="preserve"> as treatment for first recurrent head and neck cancer in combination with immune checkpoint inhibitor</w:t>
      </w:r>
    </w:p>
    <w:p w14:paraId="36B968D2" w14:textId="77777777" w:rsidR="007F536F" w:rsidRPr="007F536F" w:rsidRDefault="007F536F" w:rsidP="007F536F">
      <w:pPr>
        <w:rPr>
          <w:bCs/>
          <w:i/>
          <w:iCs/>
          <w:color w:val="000000"/>
          <w:sz w:val="22"/>
          <w:szCs w:val="22"/>
          <w:highlight w:val="yellow"/>
        </w:rPr>
      </w:pPr>
    </w:p>
    <w:p w14:paraId="01F70D65" w14:textId="77777777" w:rsidR="007F536F" w:rsidRPr="007F536F" w:rsidRDefault="007F536F" w:rsidP="007F536F">
      <w:pPr>
        <w:jc w:val="center"/>
        <w:rPr>
          <w:bCs/>
          <w:i/>
          <w:iCs/>
          <w:color w:val="000000"/>
          <w:sz w:val="22"/>
          <w:szCs w:val="22"/>
        </w:rPr>
      </w:pPr>
      <w:r w:rsidRPr="007F536F">
        <w:rPr>
          <w:bCs/>
          <w:i/>
          <w:iCs/>
          <w:color w:val="000000"/>
          <w:sz w:val="22"/>
          <w:szCs w:val="22"/>
        </w:rPr>
        <w:t>Company to host conference call today at 4:30 p.m. ET</w:t>
      </w:r>
    </w:p>
    <w:p w14:paraId="7DC98BA4" w14:textId="77777777" w:rsidR="007F536F" w:rsidRPr="007F536F" w:rsidRDefault="007F536F" w:rsidP="007F536F">
      <w:pPr>
        <w:tabs>
          <w:tab w:val="left" w:pos="6399"/>
        </w:tabs>
      </w:pPr>
    </w:p>
    <w:p w14:paraId="37FF1C60" w14:textId="77777777" w:rsidR="007F536F" w:rsidRPr="007F536F" w:rsidRDefault="007F536F" w:rsidP="007F536F">
      <w:pPr>
        <w:widowControl w:val="0"/>
        <w:autoSpaceDE w:val="0"/>
        <w:autoSpaceDN w:val="0"/>
        <w:adjustRightInd w:val="0"/>
        <w:jc w:val="both"/>
        <w:rPr>
          <w:bCs/>
          <w:sz w:val="22"/>
          <w:szCs w:val="22"/>
        </w:rPr>
      </w:pPr>
      <w:r w:rsidRPr="007F536F">
        <w:rPr>
          <w:b/>
          <w:color w:val="000000"/>
          <w:sz w:val="22"/>
          <w:szCs w:val="22"/>
        </w:rPr>
        <w:t>ATLANTA, GA, March 27, 2025 –</w:t>
      </w:r>
      <w:r w:rsidRPr="007F536F">
        <w:rPr>
          <w:color w:val="000000"/>
          <w:sz w:val="22"/>
          <w:szCs w:val="22"/>
        </w:rPr>
        <w:t xml:space="preserve"> GeoVax Labs, Inc. (Nasdaq: GOVX), a clinical-stage biotechnology company developing immunotherapies and vaccines against cancers and infectious diseases, </w:t>
      </w:r>
      <w:r w:rsidRPr="007F536F">
        <w:rPr>
          <w:rFonts w:eastAsia="Calibri"/>
          <w:kern w:val="2"/>
          <w:sz w:val="22"/>
          <w:szCs w:val="22"/>
          <w14:ligatures w14:val="standardContextual"/>
        </w:rPr>
        <w:t>today announced its financial results and key operational accomplishments for the year ended December 31, 2024.</w:t>
      </w:r>
    </w:p>
    <w:p w14:paraId="50F05AC7" w14:textId="77777777" w:rsidR="007F536F" w:rsidRPr="007F536F" w:rsidRDefault="007F536F" w:rsidP="007F536F">
      <w:pPr>
        <w:jc w:val="both"/>
        <w:rPr>
          <w:rFonts w:eastAsia="Calibri"/>
          <w:b/>
          <w:bCs/>
          <w:kern w:val="2"/>
          <w:sz w:val="22"/>
          <w:szCs w:val="22"/>
          <w14:ligatures w14:val="standardContextual"/>
        </w:rPr>
      </w:pPr>
    </w:p>
    <w:p w14:paraId="2FD75E35" w14:textId="77777777" w:rsidR="007F536F" w:rsidRPr="007F536F" w:rsidRDefault="007F536F" w:rsidP="007F536F">
      <w:pPr>
        <w:jc w:val="both"/>
        <w:rPr>
          <w:rFonts w:eastAsia="Calibri"/>
          <w:kern w:val="2"/>
          <w:sz w:val="22"/>
          <w:szCs w:val="22"/>
          <w14:ligatures w14:val="standardContextual"/>
        </w:rPr>
      </w:pPr>
      <w:r w:rsidRPr="007F536F">
        <w:rPr>
          <w:rFonts w:eastAsia="Calibri"/>
          <w:kern w:val="2"/>
          <w:sz w:val="22"/>
          <w:szCs w:val="22"/>
          <w14:ligatures w14:val="standardContextual"/>
        </w:rPr>
        <w:t>“We are entering 2025 from a position of strength following a pivotal year for GeoVax,” stated David Dodd, GeoVax’s Chairman and CEO. “In June 2024, we received BARDA’s Project NextGen award of nearly $400 million to advance GEO-CM04S1 in a Phase 2b clinical trial. Throughout the remainder of 2024, we were able to secure a high quality CRO partner and lay the foundation for our 10,000-patient study, progressing to producing the vaccine material for use in the clinical trial.”</w:t>
      </w:r>
    </w:p>
    <w:p w14:paraId="7445EFE4" w14:textId="77777777" w:rsidR="007F536F" w:rsidRPr="007F536F" w:rsidRDefault="007F536F" w:rsidP="007F536F">
      <w:pPr>
        <w:jc w:val="both"/>
        <w:rPr>
          <w:rFonts w:eastAsia="Calibri"/>
          <w:kern w:val="2"/>
          <w:sz w:val="22"/>
          <w:szCs w:val="22"/>
          <w14:ligatures w14:val="standardContextual"/>
        </w:rPr>
      </w:pPr>
    </w:p>
    <w:p w14:paraId="3A10F976" w14:textId="77777777" w:rsidR="007F536F" w:rsidRPr="007F536F" w:rsidRDefault="007F536F" w:rsidP="007F536F">
      <w:pPr>
        <w:jc w:val="both"/>
        <w:rPr>
          <w:rFonts w:eastAsia="Calibri"/>
          <w:kern w:val="2"/>
          <w:sz w:val="22"/>
          <w:szCs w:val="22"/>
          <w14:ligatures w14:val="standardContextual"/>
        </w:rPr>
      </w:pPr>
      <w:r w:rsidRPr="007F536F">
        <w:rPr>
          <w:rFonts w:eastAsia="Calibri"/>
          <w:kern w:val="2"/>
          <w:sz w:val="22"/>
          <w:szCs w:val="22"/>
          <w14:ligatures w14:val="standardContextual"/>
        </w:rPr>
        <w:t>“We continue to build on our growing body of clinical evidence in support of GEO-CM04S1. In April 2024, we presented data at the 24</w:t>
      </w:r>
      <w:r w:rsidRPr="007F536F">
        <w:rPr>
          <w:rFonts w:eastAsia="Calibri"/>
          <w:kern w:val="2"/>
          <w:sz w:val="22"/>
          <w:szCs w:val="22"/>
          <w:vertAlign w:val="superscript"/>
          <w14:ligatures w14:val="standardContextual"/>
        </w:rPr>
        <w:t>th</w:t>
      </w:r>
      <w:r w:rsidRPr="007F536F">
        <w:rPr>
          <w:rFonts w:eastAsia="Calibri"/>
          <w:kern w:val="2"/>
          <w:sz w:val="22"/>
          <w:szCs w:val="22"/>
          <w14:ligatures w14:val="standardContextual"/>
        </w:rPr>
        <w:t xml:space="preserve"> Annual World Vaccine Congress, highlighting data demonstrating vaccine induced immunity protects against infections, serious disease symptoms and death. GeoVax also reported positive initial safety and immune response data from the Phase 2 clinical trial of GeoVax as a booster in healthy adults who had previously received the Pfizer or Moderna mRNA vaccine and observed statistically significant increases in neutralizing antibody responses against multiple SARS-CoV-2 variants. We continue to strive toward a solution for the critically underserved immunocompromised patient population, where the current mRNA vaccines do not provide adequate protection,” Dodd continued. </w:t>
      </w:r>
    </w:p>
    <w:p w14:paraId="383EF29E" w14:textId="77777777" w:rsidR="007F536F" w:rsidRPr="007F536F" w:rsidRDefault="007F536F" w:rsidP="007F536F">
      <w:pPr>
        <w:jc w:val="both"/>
        <w:rPr>
          <w:rFonts w:eastAsia="Calibri"/>
          <w:kern w:val="2"/>
          <w:sz w:val="22"/>
          <w:szCs w:val="22"/>
          <w14:ligatures w14:val="standardContextual"/>
        </w:rPr>
      </w:pPr>
    </w:p>
    <w:p w14:paraId="61EE6D90" w14:textId="77777777" w:rsidR="007F536F" w:rsidRPr="007F536F" w:rsidRDefault="007F536F" w:rsidP="007F536F">
      <w:pPr>
        <w:jc w:val="both"/>
        <w:rPr>
          <w:rFonts w:eastAsia="Calibri"/>
          <w:kern w:val="2"/>
          <w:sz w:val="22"/>
          <w:szCs w:val="22"/>
          <w14:ligatures w14:val="standardContextual"/>
        </w:rPr>
      </w:pPr>
      <w:r w:rsidRPr="007F536F">
        <w:rPr>
          <w:rFonts w:eastAsia="Calibri"/>
          <w:kern w:val="2"/>
          <w:sz w:val="22"/>
          <w:szCs w:val="22"/>
          <w14:ligatures w14:val="standardContextual"/>
        </w:rPr>
        <w:t xml:space="preserve">“In parallel, we are advancing our manufacturing capabilities to address emerging threats to public health and U.S. national security. The need for these measures is critical and urgent, as evidenced by the recent Mpox public health emergency declaration by the World Health Organization. GeoVax remains committed to bolstering global preparedness through GEO-MVA, our vaccine candidate in development for protection against Mpox and smallpox, and through our efforts to establish an advanced MVA manufacturing processes domestically to combat this ongoing public health crisis. We are enthusiastic about the potential of our therapies to address meaningful market opportunities and look forward to a catalyst-rich 2025,” Dodd concluded. </w:t>
      </w:r>
    </w:p>
    <w:p w14:paraId="12EE292C" w14:textId="77777777" w:rsidR="007F536F" w:rsidRPr="007F536F" w:rsidRDefault="007F536F" w:rsidP="007F536F">
      <w:pPr>
        <w:jc w:val="both"/>
        <w:rPr>
          <w:rFonts w:eastAsia="Calibri"/>
          <w:b/>
          <w:bCs/>
          <w:kern w:val="2"/>
          <w:sz w:val="22"/>
          <w:szCs w:val="22"/>
          <w14:ligatures w14:val="standardContextual"/>
        </w:rPr>
      </w:pPr>
    </w:p>
    <w:p w14:paraId="55AE3A20" w14:textId="77777777" w:rsidR="007F536F" w:rsidRPr="007F536F" w:rsidRDefault="007F536F" w:rsidP="007F536F">
      <w:pPr>
        <w:rPr>
          <w:rFonts w:eastAsia="Calibri"/>
          <w:b/>
          <w:bCs/>
          <w:kern w:val="2"/>
          <w:sz w:val="22"/>
          <w:szCs w:val="22"/>
          <w14:ligatures w14:val="standardContextual"/>
        </w:rPr>
      </w:pPr>
      <w:r w:rsidRPr="007F536F">
        <w:rPr>
          <w:rFonts w:eastAsia="Calibri"/>
          <w:b/>
          <w:bCs/>
          <w:kern w:val="2"/>
          <w:sz w:val="22"/>
          <w:szCs w:val="22"/>
          <w14:ligatures w14:val="standardContextual"/>
        </w:rPr>
        <w:br w:type="page"/>
      </w:r>
    </w:p>
    <w:p w14:paraId="17F8BFDC" w14:textId="77777777" w:rsidR="007F536F" w:rsidRPr="007F536F" w:rsidRDefault="007F536F" w:rsidP="007F536F">
      <w:pPr>
        <w:jc w:val="both"/>
        <w:rPr>
          <w:rFonts w:eastAsia="Calibri"/>
          <w:b/>
          <w:bCs/>
          <w:kern w:val="2"/>
          <w:sz w:val="22"/>
          <w:szCs w:val="22"/>
          <w14:ligatures w14:val="standardContextual"/>
        </w:rPr>
      </w:pPr>
      <w:r w:rsidRPr="007F536F">
        <w:rPr>
          <w:rFonts w:eastAsia="Calibri"/>
          <w:b/>
          <w:bCs/>
          <w:kern w:val="2"/>
          <w:sz w:val="22"/>
          <w:szCs w:val="22"/>
          <w14:ligatures w14:val="standardContextual"/>
        </w:rPr>
        <w:lastRenderedPageBreak/>
        <w:t>Clinical Trial Progress and Operational Developments</w:t>
      </w:r>
    </w:p>
    <w:p w14:paraId="3CE5136B" w14:textId="77777777" w:rsidR="007F536F" w:rsidRPr="007F536F" w:rsidRDefault="007F536F" w:rsidP="007F536F">
      <w:pPr>
        <w:jc w:val="both"/>
        <w:rPr>
          <w:rFonts w:eastAsia="Calibri"/>
          <w:b/>
          <w:bCs/>
          <w:kern w:val="2"/>
          <w:sz w:val="22"/>
          <w:szCs w:val="22"/>
          <w14:ligatures w14:val="standardContextual"/>
        </w:rPr>
      </w:pPr>
    </w:p>
    <w:p w14:paraId="3B26C810" w14:textId="77777777" w:rsidR="007F536F" w:rsidRPr="007F536F" w:rsidRDefault="007F536F" w:rsidP="007F536F">
      <w:pPr>
        <w:shd w:val="clear" w:color="auto" w:fill="FFFFFF"/>
        <w:rPr>
          <w:b/>
          <w:bCs/>
          <w:color w:val="000000"/>
          <w:sz w:val="22"/>
          <w:szCs w:val="22"/>
        </w:rPr>
      </w:pPr>
      <w:r w:rsidRPr="007F536F">
        <w:rPr>
          <w:b/>
          <w:bCs/>
          <w:color w:val="000000"/>
          <w:sz w:val="22"/>
          <w:szCs w:val="22"/>
        </w:rPr>
        <w:t>GEO-CM04S1</w:t>
      </w:r>
    </w:p>
    <w:p w14:paraId="59D5DFA2" w14:textId="77777777" w:rsidR="007F536F" w:rsidRPr="007F536F" w:rsidRDefault="007F536F" w:rsidP="007F536F">
      <w:pPr>
        <w:shd w:val="clear" w:color="auto" w:fill="FFFFFF"/>
        <w:rPr>
          <w:color w:val="000000"/>
          <w:sz w:val="22"/>
          <w:szCs w:val="22"/>
        </w:rPr>
      </w:pPr>
    </w:p>
    <w:p w14:paraId="7CF1312D" w14:textId="77777777" w:rsidR="007F536F" w:rsidRPr="007F536F" w:rsidRDefault="007F536F" w:rsidP="007F536F">
      <w:pPr>
        <w:numPr>
          <w:ilvl w:val="0"/>
          <w:numId w:val="3"/>
        </w:numPr>
        <w:jc w:val="both"/>
        <w:rPr>
          <w:rFonts w:eastAsia="Calibri"/>
          <w:kern w:val="2"/>
          <w:sz w:val="22"/>
          <w:szCs w:val="22"/>
          <w14:ligatures w14:val="standardContextual"/>
        </w:rPr>
      </w:pPr>
      <w:r w:rsidRPr="007F536F">
        <w:rPr>
          <w:rFonts w:eastAsia="Calibri"/>
          <w:b/>
          <w:bCs/>
          <w:kern w:val="2"/>
          <w:sz w:val="22"/>
          <w:szCs w:val="22"/>
          <w14:ligatures w14:val="standardContextual"/>
        </w:rPr>
        <w:t>Completed interim data review</w:t>
      </w:r>
      <w:r w:rsidRPr="007F536F">
        <w:rPr>
          <w:rFonts w:eastAsia="Calibri"/>
          <w:kern w:val="2"/>
          <w:sz w:val="22"/>
          <w:szCs w:val="22"/>
          <w14:ligatures w14:val="standardContextual"/>
        </w:rPr>
        <w:t xml:space="preserve"> by the Data Safety Monitoring Board (DSMB) for the ongoing Phase 2 clinical trial of GEO-CM04S1, GeoVax’s dual-antigen next-generation COVID-19 vaccine, as a booster vaccine for patients with chronic lymphocytic leukemia (CLL). Based on the interim analysis of immune responses from the patients enrolled to date, the DSMB determined that, while the mRNA control arm of the study failed to meet the predetermined primary endpoint, the study should continue enrollment of the experimental arm utilizing GeoVax’s Next-Generation GEO-CM04S1 vaccine. </w:t>
      </w:r>
    </w:p>
    <w:p w14:paraId="4BF877B2" w14:textId="77777777" w:rsidR="007F536F" w:rsidRPr="007F536F" w:rsidRDefault="007F536F" w:rsidP="007F536F">
      <w:pPr>
        <w:numPr>
          <w:ilvl w:val="1"/>
          <w:numId w:val="3"/>
        </w:numPr>
        <w:jc w:val="both"/>
        <w:rPr>
          <w:rFonts w:eastAsia="Calibri"/>
          <w:kern w:val="2"/>
          <w:sz w:val="22"/>
          <w:szCs w:val="22"/>
          <w14:ligatures w14:val="standardContextual"/>
        </w:rPr>
      </w:pPr>
      <w:r w:rsidRPr="007F536F">
        <w:rPr>
          <w:rFonts w:eastAsia="Calibri"/>
          <w:kern w:val="2"/>
          <w:sz w:val="22"/>
          <w:szCs w:val="22"/>
          <w14:ligatures w14:val="standardContextual"/>
        </w:rPr>
        <w:t xml:space="preserve">The Phase 2 trial is examining the use of two injections of GEO-CM04S1, three months apart, to assess immune responses in Chronic Lymphocytic Leukemia (CLL) patients, with an mRNA vaccine as the control arm. Thus far, participants have been randomized 1:1 to receive two boosters with either the GEO-CM04S1 or the mRNA control vaccine and the Company expects to complete the trial this year. </w:t>
      </w:r>
    </w:p>
    <w:p w14:paraId="1614B452" w14:textId="77777777" w:rsidR="007F536F" w:rsidRPr="007F536F" w:rsidRDefault="007F536F" w:rsidP="007F536F">
      <w:pPr>
        <w:numPr>
          <w:ilvl w:val="0"/>
          <w:numId w:val="3"/>
        </w:numPr>
        <w:jc w:val="both"/>
        <w:rPr>
          <w:rFonts w:eastAsia="Calibri"/>
          <w:kern w:val="2"/>
          <w:sz w:val="22"/>
          <w:szCs w:val="22"/>
          <w14:ligatures w14:val="standardContextual"/>
        </w:rPr>
      </w:pPr>
      <w:r w:rsidRPr="007F536F">
        <w:rPr>
          <w:rFonts w:eastAsia="Calibri"/>
          <w:b/>
          <w:bCs/>
          <w:kern w:val="2"/>
          <w:sz w:val="22"/>
          <w:szCs w:val="22"/>
          <w14:ligatures w14:val="standardContextual"/>
        </w:rPr>
        <w:t>Confirmed target sites of BARDA Project NextGen trial</w:t>
      </w:r>
      <w:r w:rsidRPr="007F536F">
        <w:rPr>
          <w:rFonts w:eastAsia="Calibri"/>
          <w:kern w:val="2"/>
          <w:sz w:val="22"/>
          <w:szCs w:val="22"/>
          <w14:ligatures w14:val="standardContextual"/>
        </w:rPr>
        <w:t xml:space="preserve">, and activities are underway in support of initiating the 10,000-participant, randomized, Phase 2b double-blinded study to compare the efficacy, safety, and immunogenicity of GEO-CM04S1 with a U.S. Food and Drug Administration (FDA) approved mRNA COVID-19 vaccine. </w:t>
      </w:r>
    </w:p>
    <w:p w14:paraId="33565A4C" w14:textId="77777777" w:rsidR="007F536F" w:rsidRPr="007F536F" w:rsidRDefault="007F536F" w:rsidP="007F536F">
      <w:pPr>
        <w:numPr>
          <w:ilvl w:val="0"/>
          <w:numId w:val="3"/>
        </w:numPr>
        <w:jc w:val="both"/>
        <w:rPr>
          <w:rFonts w:eastAsia="Calibri"/>
          <w:kern w:val="2"/>
          <w:sz w:val="22"/>
          <w:szCs w:val="22"/>
          <w14:ligatures w14:val="standardContextual"/>
        </w:rPr>
      </w:pPr>
      <w:r w:rsidRPr="007F536F">
        <w:rPr>
          <w:rFonts w:eastAsia="Calibri"/>
          <w:b/>
          <w:bCs/>
          <w:kern w:val="2"/>
          <w:sz w:val="22"/>
          <w:szCs w:val="22"/>
          <w14:ligatures w14:val="standardContextual"/>
        </w:rPr>
        <w:t xml:space="preserve">Announced planned site expansion </w:t>
      </w:r>
      <w:r w:rsidRPr="007F536F">
        <w:rPr>
          <w:rFonts w:eastAsia="Calibri"/>
          <w:kern w:val="2"/>
          <w:sz w:val="22"/>
          <w:szCs w:val="22"/>
          <w14:ligatures w14:val="standardContextual"/>
        </w:rPr>
        <w:t>for the Phase 2 Immunocompromised/Stem Cell Transplant patient trial. GeoVax continues to advance its Phase 2 clinical trial of GEO-CM04S1 as a primary vaccine for immunocompromised patients undergoing stem cell transplantation. This study addresses a critical need for effective vaccination strategies in populations that may not respond adequately to existing vaccines.</w:t>
      </w:r>
    </w:p>
    <w:p w14:paraId="12D2EB68" w14:textId="77777777" w:rsidR="007F536F" w:rsidRPr="007F536F" w:rsidRDefault="007F536F" w:rsidP="007F536F">
      <w:pPr>
        <w:numPr>
          <w:ilvl w:val="0"/>
          <w:numId w:val="3"/>
        </w:numPr>
        <w:jc w:val="both"/>
        <w:rPr>
          <w:rFonts w:eastAsia="Calibri"/>
          <w:kern w:val="2"/>
          <w:sz w:val="22"/>
          <w:szCs w:val="22"/>
          <w14:ligatures w14:val="standardContextual"/>
        </w:rPr>
      </w:pPr>
      <w:r w:rsidRPr="007F536F">
        <w:rPr>
          <w:rFonts w:eastAsia="Calibri"/>
          <w:b/>
          <w:bCs/>
          <w:kern w:val="2"/>
          <w:sz w:val="22"/>
          <w:szCs w:val="22"/>
          <w14:ligatures w14:val="standardContextual"/>
        </w:rPr>
        <w:t xml:space="preserve">Completed enrollment in booster vaccine study for healthy adult volunteers. </w:t>
      </w:r>
      <w:r w:rsidRPr="007F536F">
        <w:rPr>
          <w:rFonts w:eastAsia="Calibri"/>
          <w:kern w:val="2"/>
          <w:sz w:val="22"/>
          <w:szCs w:val="22"/>
          <w14:ligatures w14:val="standardContextual"/>
        </w:rPr>
        <w:t>GeoVax has successfully completed enrollment in its Phase 2 clinical trial evaluating GEO-CM04S1 as a booster vaccine in healthy adults who previously received COVID-19 vaccines. This study aims to assess the vaccine's safety and immunogenicity at two different dose levels, with data readouts anticipated in the first half of 2025.</w:t>
      </w:r>
    </w:p>
    <w:p w14:paraId="409DA76F" w14:textId="77777777" w:rsidR="007F536F" w:rsidRPr="007F536F" w:rsidRDefault="007F536F" w:rsidP="007F536F">
      <w:pPr>
        <w:numPr>
          <w:ilvl w:val="0"/>
          <w:numId w:val="3"/>
        </w:numPr>
        <w:jc w:val="both"/>
        <w:rPr>
          <w:rFonts w:eastAsia="Calibri"/>
          <w:kern w:val="2"/>
          <w:sz w:val="22"/>
          <w:szCs w:val="22"/>
          <w14:ligatures w14:val="standardContextual"/>
        </w:rPr>
      </w:pPr>
      <w:r w:rsidRPr="007F536F">
        <w:rPr>
          <w:rFonts w:eastAsia="Calibri"/>
          <w:b/>
          <w:bCs/>
          <w:kern w:val="2"/>
          <w:sz w:val="22"/>
          <w:szCs w:val="22"/>
          <w14:ligatures w14:val="standardContextual"/>
        </w:rPr>
        <w:t xml:space="preserve">GEO-CMO4S1 addresses a significant medical need worldwide </w:t>
      </w:r>
      <w:r w:rsidRPr="007F536F">
        <w:rPr>
          <w:rFonts w:eastAsia="Calibri"/>
          <w:kern w:val="2"/>
          <w:sz w:val="22"/>
          <w:szCs w:val="22"/>
          <w14:ligatures w14:val="standardContextual"/>
        </w:rPr>
        <w:t xml:space="preserve">reflected in an estimated market potential at $30B+ </w:t>
      </w:r>
    </w:p>
    <w:p w14:paraId="7B2D1F11" w14:textId="77777777" w:rsidR="007F536F" w:rsidRPr="007F536F" w:rsidRDefault="007F536F" w:rsidP="007F536F">
      <w:pPr>
        <w:jc w:val="both"/>
        <w:rPr>
          <w:b/>
          <w:bCs/>
          <w:color w:val="000000"/>
          <w:sz w:val="22"/>
          <w:szCs w:val="22"/>
        </w:rPr>
      </w:pPr>
    </w:p>
    <w:p w14:paraId="0D0DD5E6" w14:textId="77777777" w:rsidR="007F536F" w:rsidRPr="007F536F" w:rsidRDefault="007F536F" w:rsidP="007F536F">
      <w:pPr>
        <w:jc w:val="both"/>
        <w:rPr>
          <w:color w:val="000000"/>
          <w:sz w:val="22"/>
          <w:szCs w:val="22"/>
        </w:rPr>
      </w:pPr>
      <w:r w:rsidRPr="007F536F">
        <w:rPr>
          <w:b/>
          <w:bCs/>
          <w:color w:val="000000"/>
          <w:sz w:val="22"/>
          <w:szCs w:val="22"/>
        </w:rPr>
        <w:t>Gedeptin</w:t>
      </w:r>
      <w:r w:rsidRPr="007F536F">
        <w:rPr>
          <w:b/>
          <w:bCs/>
          <w:color w:val="000000"/>
          <w:sz w:val="22"/>
          <w:szCs w:val="22"/>
          <w:vertAlign w:val="superscript"/>
        </w:rPr>
        <w:t>®</w:t>
      </w:r>
    </w:p>
    <w:p w14:paraId="66D3A2CE" w14:textId="77777777" w:rsidR="007F536F" w:rsidRPr="007F536F" w:rsidRDefault="007F536F" w:rsidP="007F536F">
      <w:pPr>
        <w:jc w:val="both"/>
        <w:rPr>
          <w:rFonts w:eastAsia="Calibri"/>
          <w:kern w:val="2"/>
          <w:sz w:val="22"/>
          <w:szCs w:val="22"/>
          <w14:ligatures w14:val="standardContextual"/>
        </w:rPr>
      </w:pPr>
    </w:p>
    <w:p w14:paraId="6019B943" w14:textId="77777777" w:rsidR="007F536F" w:rsidRPr="007F536F" w:rsidRDefault="007F536F" w:rsidP="007F536F">
      <w:pPr>
        <w:numPr>
          <w:ilvl w:val="0"/>
          <w:numId w:val="3"/>
        </w:numPr>
        <w:jc w:val="both"/>
        <w:rPr>
          <w:rFonts w:eastAsia="Calibri"/>
          <w:kern w:val="2"/>
          <w:sz w:val="22"/>
          <w:szCs w:val="22"/>
          <w14:ligatures w14:val="standardContextual"/>
        </w:rPr>
      </w:pPr>
      <w:r w:rsidRPr="007F536F">
        <w:rPr>
          <w:rFonts w:eastAsia="Calibri"/>
          <w:b/>
          <w:bCs/>
          <w:kern w:val="2"/>
          <w:sz w:val="22"/>
          <w:szCs w:val="22"/>
          <w14:ligatures w14:val="standardContextual"/>
        </w:rPr>
        <w:t>Advancing Gedeptin into Phase 2 clinical study</w:t>
      </w:r>
      <w:r w:rsidRPr="007F536F">
        <w:rPr>
          <w:rFonts w:eastAsia="Calibri"/>
          <w:kern w:val="2"/>
          <w:sz w:val="22"/>
          <w:szCs w:val="22"/>
          <w14:ligatures w14:val="standardContextual"/>
        </w:rPr>
        <w:t xml:space="preserve"> evaluating neoadjuvant Gedeptin therapy in combination with an approved immune check point inhibitor (ICI) in 1st recurrent Head &amp; Neck (H&amp;N) cancer following an encouraging review of the data from the completed Phase 1 single-cycle and Phase 1/2 multi-cycle Gedeptin trials among patients with advanced H&amp;N tumors. </w:t>
      </w:r>
    </w:p>
    <w:p w14:paraId="55E525EA" w14:textId="77777777" w:rsidR="007F536F" w:rsidRPr="007F536F" w:rsidRDefault="007F536F" w:rsidP="007F536F">
      <w:pPr>
        <w:numPr>
          <w:ilvl w:val="1"/>
          <w:numId w:val="3"/>
        </w:numPr>
        <w:jc w:val="both"/>
        <w:rPr>
          <w:rFonts w:eastAsia="Calibri"/>
          <w:kern w:val="2"/>
          <w:sz w:val="22"/>
          <w:szCs w:val="22"/>
          <w14:ligatures w14:val="standardContextual"/>
        </w:rPr>
      </w:pPr>
      <w:r w:rsidRPr="007F536F">
        <w:rPr>
          <w:rFonts w:eastAsia="Calibri"/>
          <w:kern w:val="2"/>
          <w:sz w:val="22"/>
          <w:szCs w:val="22"/>
          <w14:ligatures w14:val="standardContextual"/>
        </w:rPr>
        <w:t xml:space="preserve">This trial is anticipated to be a single-cycle trial in approximately 36 patients with a pathologic response rate as the primary endpoint, and key endpoints will include pathologic response rates and overall treatment outcomes. Planning is underway with leading academic oncology centers, while clinical trial material is being produced. </w:t>
      </w:r>
    </w:p>
    <w:p w14:paraId="52EC7566" w14:textId="77777777" w:rsidR="007F536F" w:rsidRPr="007F536F" w:rsidRDefault="007F536F" w:rsidP="007F536F">
      <w:pPr>
        <w:numPr>
          <w:ilvl w:val="1"/>
          <w:numId w:val="3"/>
        </w:numPr>
        <w:jc w:val="both"/>
        <w:rPr>
          <w:rFonts w:eastAsia="Calibri"/>
          <w:kern w:val="2"/>
          <w:sz w:val="22"/>
          <w:szCs w:val="22"/>
          <w14:ligatures w14:val="standardContextual"/>
        </w:rPr>
      </w:pPr>
      <w:r w:rsidRPr="007F536F">
        <w:rPr>
          <w:rFonts w:eastAsia="Calibri"/>
          <w:kern w:val="2"/>
          <w:sz w:val="22"/>
          <w:szCs w:val="22"/>
          <w14:ligatures w14:val="standardContextual"/>
        </w:rPr>
        <w:t xml:space="preserve">As an FDA-designated Orphan Drug for anatomically accessible oral and pharyngeal cancers, Gedeptin is strategically positioned to address not only head and neck cancers but also other solid tumor indications, such as triple-negative breast cancer, soft tissue sarcoma and melanoma, and represents a significant market opportunity. </w:t>
      </w:r>
    </w:p>
    <w:p w14:paraId="54609967" w14:textId="77777777" w:rsidR="007F536F" w:rsidRPr="007F536F" w:rsidRDefault="007F536F" w:rsidP="007F536F">
      <w:pPr>
        <w:numPr>
          <w:ilvl w:val="0"/>
          <w:numId w:val="3"/>
        </w:numPr>
        <w:jc w:val="both"/>
        <w:rPr>
          <w:rFonts w:eastAsia="Calibri"/>
          <w:kern w:val="2"/>
          <w:sz w:val="22"/>
          <w:szCs w:val="22"/>
          <w14:ligatures w14:val="standardContextual"/>
        </w:rPr>
      </w:pPr>
      <w:r w:rsidRPr="007F536F">
        <w:rPr>
          <w:rFonts w:eastAsia="Calibri"/>
          <w:b/>
          <w:bCs/>
          <w:kern w:val="2"/>
          <w:sz w:val="22"/>
          <w:szCs w:val="22"/>
          <w14:ligatures w14:val="standardContextual"/>
        </w:rPr>
        <w:t xml:space="preserve">Gedeptin addresses a significant medical need worldwide </w:t>
      </w:r>
      <w:r w:rsidRPr="007F536F">
        <w:rPr>
          <w:rFonts w:eastAsia="Calibri"/>
          <w:kern w:val="2"/>
          <w:sz w:val="22"/>
          <w:szCs w:val="22"/>
          <w14:ligatures w14:val="standardContextual"/>
        </w:rPr>
        <w:t>reflected in an estimated market potential at $15B+</w:t>
      </w:r>
    </w:p>
    <w:p w14:paraId="18E9EBF9" w14:textId="77777777" w:rsidR="007F536F" w:rsidRPr="007F536F" w:rsidRDefault="007F536F" w:rsidP="007F536F">
      <w:pPr>
        <w:jc w:val="both"/>
        <w:rPr>
          <w:rFonts w:eastAsia="Calibri"/>
          <w:kern w:val="2"/>
          <w:sz w:val="22"/>
          <w:szCs w:val="22"/>
          <w14:ligatures w14:val="standardContextual"/>
        </w:rPr>
      </w:pPr>
    </w:p>
    <w:p w14:paraId="610E63FB" w14:textId="77777777" w:rsidR="007F536F" w:rsidRPr="007F536F" w:rsidRDefault="007F536F" w:rsidP="007F536F">
      <w:pPr>
        <w:rPr>
          <w:b/>
          <w:bCs/>
          <w:color w:val="000000"/>
          <w:sz w:val="22"/>
          <w:szCs w:val="22"/>
        </w:rPr>
      </w:pPr>
      <w:r w:rsidRPr="007F536F">
        <w:rPr>
          <w:b/>
          <w:bCs/>
          <w:color w:val="000000"/>
          <w:sz w:val="22"/>
          <w:szCs w:val="22"/>
        </w:rPr>
        <w:br w:type="page"/>
      </w:r>
    </w:p>
    <w:p w14:paraId="001E7AB1" w14:textId="77777777" w:rsidR="007F536F" w:rsidRPr="007F536F" w:rsidRDefault="007F536F" w:rsidP="007F536F">
      <w:pPr>
        <w:shd w:val="clear" w:color="auto" w:fill="FFFFFF"/>
        <w:rPr>
          <w:b/>
          <w:bCs/>
          <w:color w:val="000000"/>
          <w:sz w:val="22"/>
          <w:szCs w:val="22"/>
        </w:rPr>
      </w:pPr>
      <w:r w:rsidRPr="007F536F">
        <w:rPr>
          <w:b/>
          <w:bCs/>
          <w:color w:val="000000"/>
          <w:sz w:val="22"/>
          <w:szCs w:val="22"/>
        </w:rPr>
        <w:lastRenderedPageBreak/>
        <w:t>Mpox and Smallpox Vaccine Platform</w:t>
      </w:r>
    </w:p>
    <w:p w14:paraId="2C5577FF" w14:textId="77777777" w:rsidR="007F536F" w:rsidRPr="007F536F" w:rsidRDefault="007F536F" w:rsidP="007F536F">
      <w:pPr>
        <w:shd w:val="clear" w:color="auto" w:fill="FFFFFF"/>
        <w:rPr>
          <w:b/>
          <w:bCs/>
          <w:color w:val="000000"/>
          <w:sz w:val="22"/>
          <w:szCs w:val="22"/>
        </w:rPr>
      </w:pPr>
    </w:p>
    <w:p w14:paraId="65E9451B" w14:textId="77777777" w:rsidR="007F536F" w:rsidRPr="007F536F" w:rsidRDefault="007F536F" w:rsidP="007F536F">
      <w:pPr>
        <w:numPr>
          <w:ilvl w:val="0"/>
          <w:numId w:val="3"/>
        </w:numPr>
        <w:shd w:val="clear" w:color="auto" w:fill="FFFFFF"/>
        <w:jc w:val="both"/>
        <w:rPr>
          <w:color w:val="000000"/>
          <w:sz w:val="22"/>
          <w:szCs w:val="22"/>
        </w:rPr>
      </w:pPr>
      <w:r w:rsidRPr="007F536F">
        <w:rPr>
          <w:b/>
          <w:bCs/>
          <w:color w:val="000000"/>
          <w:sz w:val="22"/>
          <w:szCs w:val="22"/>
        </w:rPr>
        <w:t>Initiation on track for clinical evaluations of GEO-MVA</w:t>
      </w:r>
      <w:r w:rsidRPr="007F536F">
        <w:rPr>
          <w:color w:val="000000"/>
          <w:sz w:val="22"/>
          <w:szCs w:val="22"/>
        </w:rPr>
        <w:t xml:space="preserve"> while continuing discussions with various stakeholders regarding the opportunity to utilize GEO-MVA among underserved populations in regions including Africa. GEO-MVA is GeoVax’s vaccine candidate in development for protection against Mpox and Smallpox which was developed on the proven Modified Vaccinia Ankara (MVA) platform. Clinical evaluation of the vaccine is expected to begin in late 2025.</w:t>
      </w:r>
    </w:p>
    <w:p w14:paraId="410D125F" w14:textId="77777777" w:rsidR="007F536F" w:rsidRPr="007F536F" w:rsidRDefault="007F536F" w:rsidP="007F536F">
      <w:pPr>
        <w:numPr>
          <w:ilvl w:val="0"/>
          <w:numId w:val="3"/>
        </w:numPr>
        <w:shd w:val="clear" w:color="auto" w:fill="FFFFFF"/>
        <w:jc w:val="both"/>
        <w:rPr>
          <w:color w:val="000000"/>
          <w:sz w:val="22"/>
          <w:szCs w:val="22"/>
        </w:rPr>
      </w:pPr>
      <w:r w:rsidRPr="007F536F">
        <w:rPr>
          <w:b/>
          <w:bCs/>
          <w:color w:val="000000"/>
          <w:sz w:val="22"/>
          <w:szCs w:val="22"/>
        </w:rPr>
        <w:t xml:space="preserve">Successfully manufactured clinical batch of GEO-MVA </w:t>
      </w:r>
      <w:r w:rsidRPr="007F536F">
        <w:rPr>
          <w:color w:val="000000"/>
          <w:sz w:val="22"/>
          <w:szCs w:val="22"/>
        </w:rPr>
        <w:t>in 2024 under current Good Manufacturing Practice (cGMP) production.</w:t>
      </w:r>
      <w:r w:rsidRPr="007F536F">
        <w:rPr>
          <w:b/>
          <w:bCs/>
          <w:color w:val="000000"/>
          <w:sz w:val="22"/>
          <w:szCs w:val="22"/>
        </w:rPr>
        <w:t xml:space="preserve"> </w:t>
      </w:r>
      <w:r w:rsidRPr="007F536F">
        <w:rPr>
          <w:color w:val="000000"/>
          <w:sz w:val="22"/>
          <w:szCs w:val="22"/>
        </w:rPr>
        <w:t xml:space="preserve">The Company's innovative advanced MVA manufacturing process is anticipated to provide scalable, flexible and cost-effective vaccine production, reducing reliance on foreign vaccine manufacturers and reinforcing domestic biosecurity. </w:t>
      </w:r>
    </w:p>
    <w:p w14:paraId="2D86A021" w14:textId="77777777" w:rsidR="007F536F" w:rsidRPr="007F536F" w:rsidRDefault="007F536F" w:rsidP="007F536F">
      <w:pPr>
        <w:numPr>
          <w:ilvl w:val="0"/>
          <w:numId w:val="3"/>
        </w:numPr>
        <w:shd w:val="clear" w:color="auto" w:fill="FFFFFF"/>
        <w:jc w:val="both"/>
        <w:rPr>
          <w:color w:val="000000"/>
          <w:sz w:val="22"/>
          <w:szCs w:val="22"/>
        </w:rPr>
      </w:pPr>
      <w:r w:rsidRPr="007F536F">
        <w:rPr>
          <w:b/>
          <w:bCs/>
          <w:color w:val="000000"/>
          <w:sz w:val="22"/>
          <w:szCs w:val="22"/>
        </w:rPr>
        <w:t>Actively pursuing strategic partnerships</w:t>
      </w:r>
      <w:r w:rsidRPr="007F536F">
        <w:rPr>
          <w:color w:val="000000"/>
          <w:sz w:val="22"/>
          <w:szCs w:val="22"/>
        </w:rPr>
        <w:t xml:space="preserve"> with governments, NGOs, and private-sector stakeholders to maximize the impact and reach of its GEO-MVA platform.</w:t>
      </w:r>
    </w:p>
    <w:p w14:paraId="20B9CEC2" w14:textId="77777777" w:rsidR="007F536F" w:rsidRPr="007F536F" w:rsidRDefault="007F536F" w:rsidP="007F536F">
      <w:pPr>
        <w:numPr>
          <w:ilvl w:val="0"/>
          <w:numId w:val="3"/>
        </w:numPr>
        <w:jc w:val="both"/>
        <w:rPr>
          <w:rFonts w:eastAsia="Calibri"/>
          <w:kern w:val="2"/>
          <w:sz w:val="22"/>
          <w:szCs w:val="22"/>
          <w14:ligatures w14:val="standardContextual"/>
        </w:rPr>
      </w:pPr>
      <w:r w:rsidRPr="007F536F">
        <w:rPr>
          <w:rFonts w:eastAsia="Calibri"/>
          <w:b/>
          <w:bCs/>
          <w:kern w:val="2"/>
          <w:sz w:val="22"/>
          <w:szCs w:val="22"/>
          <w14:ligatures w14:val="standardContextual"/>
        </w:rPr>
        <w:t xml:space="preserve">GEO-MVA addresses a significant medical need worldwide </w:t>
      </w:r>
      <w:r w:rsidRPr="007F536F">
        <w:rPr>
          <w:rFonts w:eastAsia="Calibri"/>
          <w:kern w:val="2"/>
          <w:sz w:val="22"/>
          <w:szCs w:val="22"/>
          <w14:ligatures w14:val="standardContextual"/>
        </w:rPr>
        <w:t>reflected in an estimated market potential at $10B+</w:t>
      </w:r>
    </w:p>
    <w:p w14:paraId="133DA7DE" w14:textId="77777777" w:rsidR="007F536F" w:rsidRPr="007F536F" w:rsidRDefault="007F536F" w:rsidP="007F536F">
      <w:pPr>
        <w:jc w:val="both"/>
        <w:rPr>
          <w:rFonts w:eastAsia="Calibri"/>
          <w:kern w:val="2"/>
          <w:sz w:val="22"/>
          <w:szCs w:val="22"/>
          <w14:ligatures w14:val="standardContextual"/>
        </w:rPr>
      </w:pPr>
    </w:p>
    <w:p w14:paraId="3F5DBCC0" w14:textId="77777777" w:rsidR="007F536F" w:rsidRPr="007F536F" w:rsidRDefault="007F536F" w:rsidP="007F536F">
      <w:pPr>
        <w:jc w:val="both"/>
        <w:rPr>
          <w:rFonts w:eastAsia="Calibri"/>
          <w:b/>
          <w:bCs/>
          <w:kern w:val="2"/>
          <w:sz w:val="22"/>
          <w:szCs w:val="22"/>
          <w14:ligatures w14:val="standardContextual"/>
        </w:rPr>
      </w:pPr>
      <w:r w:rsidRPr="007F536F">
        <w:rPr>
          <w:rFonts w:eastAsia="Calibri"/>
          <w:b/>
          <w:bCs/>
          <w:kern w:val="2"/>
          <w:sz w:val="22"/>
          <w:szCs w:val="22"/>
          <w14:ligatures w14:val="standardContextual"/>
        </w:rPr>
        <w:t>Corporate and Intellectual Property Developments</w:t>
      </w:r>
    </w:p>
    <w:p w14:paraId="0A1EE812" w14:textId="77777777" w:rsidR="007F536F" w:rsidRPr="007F536F" w:rsidRDefault="007F536F" w:rsidP="007F536F">
      <w:pPr>
        <w:jc w:val="both"/>
        <w:rPr>
          <w:rFonts w:eastAsia="Calibri"/>
          <w:b/>
          <w:bCs/>
          <w:kern w:val="2"/>
          <w:sz w:val="22"/>
          <w:szCs w:val="22"/>
          <w14:ligatures w14:val="standardContextual"/>
        </w:rPr>
      </w:pPr>
    </w:p>
    <w:p w14:paraId="5EB9B79B" w14:textId="77777777" w:rsidR="007F536F" w:rsidRPr="007F536F" w:rsidRDefault="007F536F" w:rsidP="007F536F">
      <w:pPr>
        <w:numPr>
          <w:ilvl w:val="0"/>
          <w:numId w:val="3"/>
        </w:numPr>
        <w:jc w:val="both"/>
        <w:rPr>
          <w:rFonts w:eastAsia="Calibri"/>
          <w:kern w:val="2"/>
          <w:sz w:val="22"/>
          <w:szCs w:val="22"/>
          <w14:ligatures w14:val="standardContextual"/>
        </w:rPr>
      </w:pPr>
      <w:r w:rsidRPr="007F536F">
        <w:rPr>
          <w:rFonts w:eastAsia="Calibri"/>
          <w:b/>
          <w:bCs/>
          <w:kern w:val="2"/>
          <w:sz w:val="22"/>
          <w:szCs w:val="22"/>
          <w14:ligatures w14:val="standardContextual"/>
        </w:rPr>
        <w:t>Announced plan to establish strategic presence in the United Kingdom</w:t>
      </w:r>
      <w:r w:rsidRPr="007F536F">
        <w:rPr>
          <w:rFonts w:eastAsia="Calibri"/>
          <w:kern w:val="2"/>
          <w:sz w:val="22"/>
          <w:szCs w:val="22"/>
          <w14:ligatures w14:val="standardContextual"/>
        </w:rPr>
        <w:t xml:space="preserve"> to advance manufacturing partnerships, European collaborations with service providers and academic partners, technology licensing opportunities and scientific expertise. </w:t>
      </w:r>
    </w:p>
    <w:p w14:paraId="15C59093" w14:textId="77777777" w:rsidR="007F536F" w:rsidRPr="007F536F" w:rsidRDefault="007F536F" w:rsidP="007F536F">
      <w:pPr>
        <w:numPr>
          <w:ilvl w:val="0"/>
          <w:numId w:val="3"/>
        </w:numPr>
        <w:jc w:val="both"/>
        <w:rPr>
          <w:rFonts w:eastAsia="Calibri"/>
          <w:kern w:val="2"/>
          <w:sz w:val="22"/>
          <w:szCs w:val="22"/>
          <w14:ligatures w14:val="standardContextual"/>
        </w:rPr>
      </w:pPr>
      <w:r w:rsidRPr="007F536F">
        <w:rPr>
          <w:rFonts w:eastAsia="Calibri"/>
          <w:b/>
          <w:bCs/>
          <w:kern w:val="2"/>
          <w:sz w:val="22"/>
          <w:szCs w:val="22"/>
          <w14:ligatures w14:val="standardContextual"/>
        </w:rPr>
        <w:t xml:space="preserve">Intellectual property assets </w:t>
      </w:r>
      <w:proofErr w:type="gramStart"/>
      <w:r w:rsidRPr="007F536F">
        <w:rPr>
          <w:rFonts w:eastAsia="Calibri"/>
          <w:b/>
          <w:bCs/>
          <w:kern w:val="2"/>
          <w:sz w:val="22"/>
          <w:szCs w:val="22"/>
          <w14:ligatures w14:val="standardContextual"/>
        </w:rPr>
        <w:t>further</w:t>
      </w:r>
      <w:proofErr w:type="gramEnd"/>
      <w:r w:rsidRPr="007F536F">
        <w:rPr>
          <w:rFonts w:eastAsia="Calibri"/>
          <w:b/>
          <w:bCs/>
          <w:kern w:val="2"/>
          <w:sz w:val="22"/>
          <w:szCs w:val="22"/>
          <w14:ligatures w14:val="standardContextual"/>
        </w:rPr>
        <w:t xml:space="preserve"> strengthened</w:t>
      </w:r>
      <w:r w:rsidRPr="007F536F">
        <w:rPr>
          <w:rFonts w:eastAsia="Calibri"/>
          <w:kern w:val="2"/>
          <w:sz w:val="22"/>
          <w:szCs w:val="22"/>
          <w14:ligatures w14:val="standardContextual"/>
        </w:rPr>
        <w:t xml:space="preserve"> by multiple actions throughout 2024 by global patent offices. GeoVax currently has over 130 granted or pending patents across 23 different families. </w:t>
      </w:r>
    </w:p>
    <w:p w14:paraId="57481405" w14:textId="77777777" w:rsidR="007F536F" w:rsidRPr="007F536F" w:rsidRDefault="007F536F" w:rsidP="007F536F">
      <w:pPr>
        <w:jc w:val="both"/>
        <w:rPr>
          <w:rFonts w:eastAsia="Calibri"/>
          <w:b/>
          <w:bCs/>
          <w:kern w:val="2"/>
          <w:sz w:val="22"/>
          <w:szCs w:val="22"/>
          <w14:ligatures w14:val="standardContextual"/>
        </w:rPr>
      </w:pPr>
    </w:p>
    <w:p w14:paraId="0334DBA3" w14:textId="77777777" w:rsidR="007F536F" w:rsidRPr="007F536F" w:rsidRDefault="007F536F" w:rsidP="007F536F">
      <w:pPr>
        <w:jc w:val="both"/>
        <w:rPr>
          <w:rFonts w:eastAsia="Calibri"/>
          <w:b/>
          <w:bCs/>
          <w:kern w:val="2"/>
          <w:sz w:val="22"/>
          <w:szCs w:val="22"/>
          <w14:ligatures w14:val="standardContextual"/>
        </w:rPr>
      </w:pPr>
      <w:r w:rsidRPr="007F536F">
        <w:rPr>
          <w:rFonts w:eastAsia="Calibri"/>
          <w:b/>
          <w:bCs/>
          <w:kern w:val="2"/>
          <w:sz w:val="22"/>
          <w:szCs w:val="22"/>
          <w14:ligatures w14:val="standardContextual"/>
        </w:rPr>
        <w:t>2024 Full Year Financial Results</w:t>
      </w:r>
    </w:p>
    <w:p w14:paraId="1DDAAB33" w14:textId="77777777" w:rsidR="007F536F" w:rsidRPr="007F536F" w:rsidRDefault="007F536F" w:rsidP="007F536F">
      <w:pPr>
        <w:jc w:val="both"/>
        <w:rPr>
          <w:rFonts w:eastAsia="Calibri"/>
          <w:b/>
          <w:bCs/>
          <w:kern w:val="2"/>
          <w:sz w:val="22"/>
          <w:szCs w:val="22"/>
          <w14:ligatures w14:val="standardContextual"/>
        </w:rPr>
      </w:pPr>
    </w:p>
    <w:p w14:paraId="68E672BB" w14:textId="77777777" w:rsidR="007F536F" w:rsidRPr="007F536F" w:rsidRDefault="007F536F" w:rsidP="007F536F">
      <w:pPr>
        <w:shd w:val="clear" w:color="auto" w:fill="FFFFFF"/>
        <w:jc w:val="both"/>
        <w:rPr>
          <w:color w:val="000000"/>
          <w:sz w:val="22"/>
          <w:szCs w:val="22"/>
        </w:rPr>
      </w:pPr>
      <w:r w:rsidRPr="007F536F">
        <w:rPr>
          <w:b/>
          <w:bCs/>
          <w:color w:val="000000"/>
          <w:sz w:val="22"/>
          <w:szCs w:val="22"/>
        </w:rPr>
        <w:t>Net Loss</w:t>
      </w:r>
      <w:r w:rsidRPr="007F536F">
        <w:rPr>
          <w:color w:val="000000"/>
          <w:sz w:val="22"/>
          <w:szCs w:val="22"/>
        </w:rPr>
        <w:t>: Net loss for the year ended December 31, 2024, was $25.0 million, as compared to $26.0 million for the year ended December 31, 2023.</w:t>
      </w:r>
    </w:p>
    <w:p w14:paraId="6BCC7168" w14:textId="77777777" w:rsidR="007F536F" w:rsidRPr="007F536F" w:rsidRDefault="007F536F" w:rsidP="007F536F">
      <w:pPr>
        <w:shd w:val="clear" w:color="auto" w:fill="FFFFFF"/>
        <w:jc w:val="both"/>
        <w:rPr>
          <w:color w:val="000000"/>
          <w:sz w:val="22"/>
          <w:szCs w:val="22"/>
        </w:rPr>
      </w:pPr>
    </w:p>
    <w:p w14:paraId="1D279E31" w14:textId="77777777" w:rsidR="007F536F" w:rsidRPr="007F536F" w:rsidRDefault="007F536F" w:rsidP="007F536F">
      <w:pPr>
        <w:shd w:val="clear" w:color="auto" w:fill="FFFFFF"/>
        <w:jc w:val="both"/>
        <w:rPr>
          <w:sz w:val="22"/>
          <w:szCs w:val="22"/>
        </w:rPr>
      </w:pPr>
      <w:r w:rsidRPr="007F536F">
        <w:rPr>
          <w:b/>
          <w:bCs/>
          <w:color w:val="000000"/>
          <w:sz w:val="22"/>
          <w:szCs w:val="22"/>
        </w:rPr>
        <w:t>Revenue.</w:t>
      </w:r>
      <w:r w:rsidRPr="007F536F">
        <w:rPr>
          <w:color w:val="000000"/>
          <w:sz w:val="22"/>
          <w:szCs w:val="22"/>
        </w:rPr>
        <w:t xml:space="preserve">  </w:t>
      </w:r>
      <w:r w:rsidRPr="007F536F">
        <w:rPr>
          <w:sz w:val="22"/>
          <w:szCs w:val="22"/>
        </w:rPr>
        <w:t>For the year ended December31, 2024, the Company reported $4.0 million of government contract revenues associated with the BARDA/RRPV Project NextGen award. There were no revenues reported during the comparable 2023 period.</w:t>
      </w:r>
    </w:p>
    <w:p w14:paraId="13EC7793" w14:textId="77777777" w:rsidR="007F536F" w:rsidRPr="007F536F" w:rsidRDefault="007F536F" w:rsidP="007F536F">
      <w:pPr>
        <w:shd w:val="clear" w:color="auto" w:fill="FFFFFF"/>
        <w:jc w:val="both"/>
        <w:rPr>
          <w:color w:val="000000"/>
          <w:sz w:val="22"/>
          <w:szCs w:val="22"/>
        </w:rPr>
      </w:pPr>
    </w:p>
    <w:p w14:paraId="71B3F799" w14:textId="77777777" w:rsidR="007F536F" w:rsidRPr="007F536F" w:rsidRDefault="007F536F" w:rsidP="007F536F">
      <w:pPr>
        <w:shd w:val="clear" w:color="auto" w:fill="FFFFFF"/>
        <w:jc w:val="both"/>
        <w:rPr>
          <w:sz w:val="22"/>
          <w:szCs w:val="22"/>
        </w:rPr>
      </w:pPr>
      <w:r w:rsidRPr="007F536F">
        <w:rPr>
          <w:b/>
          <w:bCs/>
          <w:color w:val="000000"/>
          <w:sz w:val="22"/>
          <w:szCs w:val="22"/>
        </w:rPr>
        <w:t>R&amp;D Expenses</w:t>
      </w:r>
      <w:r w:rsidRPr="007F536F">
        <w:rPr>
          <w:color w:val="000000"/>
          <w:sz w:val="22"/>
          <w:szCs w:val="22"/>
        </w:rPr>
        <w:t>: Research and development expenses were $23.7 million for 2024, compared to $20.7 million in 2023, with the</w:t>
      </w:r>
      <w:r w:rsidRPr="007F536F">
        <w:rPr>
          <w:sz w:val="22"/>
          <w:szCs w:val="22"/>
        </w:rPr>
        <w:t xml:space="preserve"> increase primarily due to the costs of manufacturing materials for use in our clinical trials of GEO-CM04S1 and other costs associated with the BARDA Project NextGen contract.</w:t>
      </w:r>
    </w:p>
    <w:p w14:paraId="202EA770" w14:textId="77777777" w:rsidR="007F536F" w:rsidRPr="007F536F" w:rsidRDefault="007F536F" w:rsidP="007F536F">
      <w:pPr>
        <w:shd w:val="clear" w:color="auto" w:fill="FFFFFF"/>
        <w:jc w:val="both"/>
        <w:rPr>
          <w:sz w:val="22"/>
          <w:szCs w:val="22"/>
        </w:rPr>
      </w:pPr>
    </w:p>
    <w:p w14:paraId="38DA3B18" w14:textId="77777777" w:rsidR="007F536F" w:rsidRPr="007F536F" w:rsidRDefault="007F536F" w:rsidP="007F536F">
      <w:pPr>
        <w:shd w:val="clear" w:color="auto" w:fill="FFFFFF"/>
        <w:jc w:val="both"/>
        <w:rPr>
          <w:sz w:val="22"/>
          <w:szCs w:val="22"/>
        </w:rPr>
      </w:pPr>
      <w:r w:rsidRPr="007F536F">
        <w:rPr>
          <w:b/>
          <w:bCs/>
          <w:color w:val="000000"/>
          <w:sz w:val="22"/>
          <w:szCs w:val="22"/>
        </w:rPr>
        <w:t>G&amp;A Expenses</w:t>
      </w:r>
      <w:r w:rsidRPr="007F536F">
        <w:rPr>
          <w:color w:val="000000"/>
          <w:sz w:val="22"/>
          <w:szCs w:val="22"/>
        </w:rPr>
        <w:t xml:space="preserve">: General and administrative expenses were $5.4 million for 2024, compared to $6.0 million in 2023, with the </w:t>
      </w:r>
      <w:r w:rsidRPr="007F536F">
        <w:rPr>
          <w:sz w:val="22"/>
          <w:szCs w:val="22"/>
        </w:rPr>
        <w:t>decrease primarily related to lower stock-based compensation expense, consulting costs, patent costs and franchise tax cost.</w:t>
      </w:r>
    </w:p>
    <w:p w14:paraId="2719E588" w14:textId="77777777" w:rsidR="007F536F" w:rsidRPr="007F536F" w:rsidRDefault="007F536F" w:rsidP="007F536F">
      <w:pPr>
        <w:shd w:val="clear" w:color="auto" w:fill="FFFFFF"/>
        <w:jc w:val="both"/>
        <w:rPr>
          <w:sz w:val="22"/>
          <w:szCs w:val="22"/>
        </w:rPr>
      </w:pPr>
    </w:p>
    <w:p w14:paraId="278755C5" w14:textId="77777777" w:rsidR="007F536F" w:rsidRPr="007F536F" w:rsidRDefault="007F536F" w:rsidP="007F536F">
      <w:pPr>
        <w:shd w:val="clear" w:color="auto" w:fill="FFFFFF"/>
        <w:jc w:val="both"/>
        <w:rPr>
          <w:color w:val="000000"/>
          <w:sz w:val="22"/>
          <w:szCs w:val="22"/>
        </w:rPr>
      </w:pPr>
      <w:r w:rsidRPr="007F536F">
        <w:rPr>
          <w:b/>
          <w:bCs/>
          <w:color w:val="000000"/>
          <w:sz w:val="22"/>
          <w:szCs w:val="22"/>
        </w:rPr>
        <w:t>Cash Position</w:t>
      </w:r>
      <w:r w:rsidRPr="007F536F">
        <w:rPr>
          <w:color w:val="000000"/>
          <w:sz w:val="22"/>
          <w:szCs w:val="22"/>
        </w:rPr>
        <w:t>: GeoVax reported cash balances of $5.5 million at December 31, 2024, as compared to $6.5 at December 31, 2023.</w:t>
      </w:r>
    </w:p>
    <w:p w14:paraId="0DF2255C" w14:textId="77777777" w:rsidR="007F536F" w:rsidRPr="007F536F" w:rsidRDefault="007F536F" w:rsidP="007F536F">
      <w:pPr>
        <w:shd w:val="clear" w:color="auto" w:fill="FFFFFF"/>
        <w:jc w:val="both"/>
        <w:rPr>
          <w:color w:val="000000"/>
          <w:sz w:val="22"/>
          <w:szCs w:val="22"/>
        </w:rPr>
      </w:pPr>
    </w:p>
    <w:p w14:paraId="1D8FF624" w14:textId="77777777" w:rsidR="007F536F" w:rsidRPr="007F536F" w:rsidRDefault="007F536F" w:rsidP="007F536F">
      <w:pPr>
        <w:shd w:val="clear" w:color="auto" w:fill="FFFFFF"/>
        <w:jc w:val="both"/>
        <w:rPr>
          <w:color w:val="000000"/>
          <w:sz w:val="22"/>
          <w:szCs w:val="22"/>
        </w:rPr>
      </w:pPr>
      <w:r w:rsidRPr="007F536F">
        <w:rPr>
          <w:sz w:val="22"/>
          <w:szCs w:val="22"/>
        </w:rPr>
        <w:t xml:space="preserve">Summarized financial information is attached. </w:t>
      </w:r>
      <w:r w:rsidRPr="007F536F">
        <w:rPr>
          <w:color w:val="000000"/>
          <w:sz w:val="22"/>
          <w:szCs w:val="22"/>
        </w:rPr>
        <w:t>Further information is included in the Company’s Annual Report on Form 10-K filed with the Securities and Exchange Commission.</w:t>
      </w:r>
    </w:p>
    <w:p w14:paraId="36E29400" w14:textId="77777777" w:rsidR="007F536F" w:rsidRPr="007F536F" w:rsidRDefault="007F536F" w:rsidP="007F536F">
      <w:pPr>
        <w:jc w:val="both"/>
        <w:rPr>
          <w:rFonts w:eastAsia="Calibri"/>
          <w:b/>
          <w:bCs/>
          <w:kern w:val="2"/>
          <w:sz w:val="22"/>
          <w:szCs w:val="22"/>
          <w14:ligatures w14:val="standardContextual"/>
        </w:rPr>
      </w:pPr>
    </w:p>
    <w:p w14:paraId="2D54A46F" w14:textId="77777777" w:rsidR="007F536F" w:rsidRPr="007F536F" w:rsidRDefault="007F536F" w:rsidP="007F536F">
      <w:pPr>
        <w:rPr>
          <w:rFonts w:eastAsia="Calibri"/>
          <w:b/>
          <w:bCs/>
          <w:kern w:val="2"/>
          <w:sz w:val="22"/>
          <w:szCs w:val="22"/>
          <w14:ligatures w14:val="standardContextual"/>
        </w:rPr>
      </w:pPr>
      <w:r w:rsidRPr="007F536F">
        <w:rPr>
          <w:rFonts w:eastAsia="Calibri"/>
          <w:b/>
          <w:bCs/>
          <w:kern w:val="2"/>
          <w:sz w:val="22"/>
          <w:szCs w:val="22"/>
          <w14:ligatures w14:val="standardContextual"/>
        </w:rPr>
        <w:br w:type="page"/>
      </w:r>
    </w:p>
    <w:p w14:paraId="23350766" w14:textId="77777777" w:rsidR="007F536F" w:rsidRPr="007F536F" w:rsidRDefault="007F536F" w:rsidP="007F536F">
      <w:pPr>
        <w:jc w:val="both"/>
        <w:rPr>
          <w:rFonts w:eastAsia="Calibri"/>
          <w:b/>
          <w:bCs/>
          <w:kern w:val="2"/>
          <w:sz w:val="22"/>
          <w:szCs w:val="22"/>
          <w14:ligatures w14:val="standardContextual"/>
        </w:rPr>
      </w:pPr>
      <w:r w:rsidRPr="007F536F">
        <w:rPr>
          <w:rFonts w:eastAsia="Calibri"/>
          <w:b/>
          <w:bCs/>
          <w:kern w:val="2"/>
          <w:sz w:val="22"/>
          <w:szCs w:val="22"/>
          <w14:ligatures w14:val="standardContextual"/>
        </w:rPr>
        <w:lastRenderedPageBreak/>
        <w:t>Conference Call Details</w:t>
      </w:r>
    </w:p>
    <w:p w14:paraId="44699C10" w14:textId="77777777" w:rsidR="007F536F" w:rsidRPr="007F536F" w:rsidRDefault="007F536F" w:rsidP="007F536F">
      <w:pPr>
        <w:jc w:val="both"/>
        <w:rPr>
          <w:rFonts w:eastAsia="Calibri"/>
          <w:b/>
          <w:bCs/>
          <w:kern w:val="2"/>
          <w:sz w:val="22"/>
          <w:szCs w:val="22"/>
          <w14:ligatures w14:val="standardContextual"/>
        </w:rPr>
      </w:pPr>
    </w:p>
    <w:p w14:paraId="2294DAA5" w14:textId="77777777" w:rsidR="007F536F" w:rsidRPr="007F536F" w:rsidRDefault="007F536F" w:rsidP="007F536F">
      <w:pPr>
        <w:jc w:val="both"/>
        <w:rPr>
          <w:rFonts w:eastAsia="Calibri"/>
          <w:kern w:val="2"/>
          <w:sz w:val="22"/>
          <w:szCs w:val="22"/>
          <w14:ligatures w14:val="standardContextual"/>
        </w:rPr>
      </w:pPr>
      <w:r w:rsidRPr="007F536F">
        <w:rPr>
          <w:rFonts w:eastAsia="Calibri"/>
          <w:kern w:val="2"/>
          <w:sz w:val="22"/>
          <w:szCs w:val="22"/>
          <w14:ligatures w14:val="standardContextual"/>
        </w:rPr>
        <w:t>Management will host a conference call and live audio webcast today, March 27, 2025, at 4:30 p.m. ET to review financial results and provide an update on corporate developments. A question-and-answer session will follow management’s formal remarks.</w:t>
      </w:r>
    </w:p>
    <w:p w14:paraId="4394B4B2" w14:textId="77777777" w:rsidR="007F536F" w:rsidRPr="007F536F" w:rsidRDefault="007F536F" w:rsidP="007F536F">
      <w:pPr>
        <w:jc w:val="both"/>
        <w:rPr>
          <w:rFonts w:eastAsia="Calibri"/>
          <w:kern w:val="2"/>
          <w:sz w:val="22"/>
          <w:szCs w:val="22"/>
          <w14:ligatures w14:val="standardContextual"/>
        </w:rPr>
      </w:pPr>
    </w:p>
    <w:p w14:paraId="3AE4F8D1" w14:textId="77777777" w:rsidR="007F536F" w:rsidRPr="007F536F" w:rsidRDefault="007F536F" w:rsidP="007F536F">
      <w:pPr>
        <w:jc w:val="both"/>
        <w:rPr>
          <w:rFonts w:eastAsia="Calibri"/>
          <w:kern w:val="2"/>
          <w:sz w:val="22"/>
          <w:szCs w:val="22"/>
          <w14:ligatures w14:val="standardContextual"/>
        </w:rPr>
      </w:pPr>
      <w:r w:rsidRPr="007F536F">
        <w:rPr>
          <w:rFonts w:eastAsia="Calibri"/>
          <w:kern w:val="2"/>
          <w:sz w:val="22"/>
          <w:szCs w:val="22"/>
          <w14:ligatures w14:val="standardContextual"/>
        </w:rPr>
        <w:t xml:space="preserve">To access the live conference call, participants may register </w:t>
      </w:r>
      <w:hyperlink r:id="rId9" w:history="1">
        <w:r w:rsidRPr="007F536F">
          <w:rPr>
            <w:rFonts w:eastAsia="Calibri"/>
            <w:color w:val="0000FF"/>
            <w:kern w:val="2"/>
            <w:sz w:val="22"/>
            <w:szCs w:val="22"/>
            <w:u w:val="single"/>
            <w14:ligatures w14:val="standardContextual"/>
          </w:rPr>
          <w:t>here</w:t>
        </w:r>
      </w:hyperlink>
      <w:r w:rsidRPr="007F536F">
        <w:rPr>
          <w:rFonts w:eastAsia="Calibri"/>
          <w:kern w:val="2"/>
          <w:sz w:val="22"/>
          <w:szCs w:val="22"/>
          <w14:ligatures w14:val="standardContextual"/>
        </w:rPr>
        <w:t xml:space="preserve">. The live audio webcast of the call will be available under "Events and Presentations" in the Investor Relations section of the GeoVax website at </w:t>
      </w:r>
      <w:hyperlink r:id="rId10" w:history="1">
        <w:r w:rsidRPr="007F536F">
          <w:rPr>
            <w:rFonts w:eastAsia="Calibri"/>
            <w:color w:val="0000FF"/>
            <w:kern w:val="2"/>
            <w:sz w:val="22"/>
            <w:szCs w:val="22"/>
            <w:u w:val="single"/>
            <w14:ligatures w14:val="standardContextual"/>
          </w:rPr>
          <w:t>geovax.com/investors</w:t>
        </w:r>
      </w:hyperlink>
      <w:r w:rsidRPr="007F536F">
        <w:rPr>
          <w:rFonts w:eastAsia="Calibri"/>
          <w:kern w:val="2"/>
          <w:sz w:val="22"/>
          <w:szCs w:val="22"/>
          <w14:ligatures w14:val="standardContextual"/>
        </w:rPr>
        <w:t xml:space="preserve">. To participate via telephone, please register in advance </w:t>
      </w:r>
      <w:hyperlink r:id="rId11" w:history="1">
        <w:r w:rsidRPr="007F536F">
          <w:rPr>
            <w:rFonts w:eastAsia="Calibri"/>
            <w:color w:val="0000FF"/>
            <w:kern w:val="2"/>
            <w:sz w:val="22"/>
            <w:szCs w:val="22"/>
            <w:u w:val="single"/>
            <w14:ligatures w14:val="standardContextual"/>
          </w:rPr>
          <w:t>here</w:t>
        </w:r>
      </w:hyperlink>
      <w:r w:rsidRPr="007F536F">
        <w:rPr>
          <w:rFonts w:eastAsia="Calibri"/>
          <w:kern w:val="2"/>
          <w:sz w:val="22"/>
          <w:szCs w:val="22"/>
          <w14:ligatures w14:val="standardContextual"/>
        </w:rPr>
        <w:t xml:space="preserve">. Upon registration, all telephone participants will receive a confirmation email detailing how to join the conference call, including the dial-in number along with a unique passcode and registrant ID that can be used to access the call. While not required, it is recommended that participants join the call ten minutes prior to the scheduled start. </w:t>
      </w:r>
    </w:p>
    <w:p w14:paraId="7D2A2FD5" w14:textId="77777777" w:rsidR="007F536F" w:rsidRPr="007F536F" w:rsidRDefault="007F536F" w:rsidP="007F536F">
      <w:pPr>
        <w:jc w:val="both"/>
        <w:rPr>
          <w:rFonts w:eastAsia="Calibri"/>
          <w:kern w:val="2"/>
          <w:sz w:val="22"/>
          <w:szCs w:val="22"/>
          <w14:ligatures w14:val="standardContextual"/>
        </w:rPr>
      </w:pPr>
    </w:p>
    <w:p w14:paraId="5679EA46" w14:textId="77777777" w:rsidR="007F536F" w:rsidRPr="007F536F" w:rsidRDefault="007F536F" w:rsidP="007F536F">
      <w:pPr>
        <w:jc w:val="both"/>
        <w:rPr>
          <w:rFonts w:eastAsia="Calibri"/>
          <w:kern w:val="2"/>
          <w:sz w:val="22"/>
          <w:szCs w:val="22"/>
          <w14:ligatures w14:val="standardContextual"/>
        </w:rPr>
      </w:pPr>
      <w:r w:rsidRPr="007F536F">
        <w:rPr>
          <w:rFonts w:eastAsia="Calibri"/>
          <w:kern w:val="2"/>
          <w:sz w:val="22"/>
          <w:szCs w:val="22"/>
          <w14:ligatures w14:val="standardContextual"/>
        </w:rPr>
        <w:t>An archive of the audio webcast will be available on GeoVax’s website approximately two hours after the conference call and will remain available for at least 90 days following the event.</w:t>
      </w:r>
    </w:p>
    <w:p w14:paraId="1E1D6EDA" w14:textId="77777777" w:rsidR="007F536F" w:rsidRPr="007F536F" w:rsidRDefault="007F536F" w:rsidP="007F536F">
      <w:pPr>
        <w:jc w:val="both"/>
        <w:rPr>
          <w:bCs/>
          <w:color w:val="000000"/>
          <w:sz w:val="22"/>
          <w:szCs w:val="22"/>
        </w:rPr>
      </w:pPr>
    </w:p>
    <w:p w14:paraId="6A32587D" w14:textId="77777777" w:rsidR="007F536F" w:rsidRPr="007F536F" w:rsidRDefault="007F536F" w:rsidP="007F536F">
      <w:pPr>
        <w:rPr>
          <w:rFonts w:eastAsia="SimSun"/>
          <w:b/>
          <w:bCs/>
          <w:color w:val="000000"/>
          <w:sz w:val="22"/>
          <w:szCs w:val="18"/>
        </w:rPr>
      </w:pPr>
      <w:bookmarkStart w:id="0" w:name="_Hlk135652404"/>
      <w:r w:rsidRPr="007F536F">
        <w:rPr>
          <w:rFonts w:eastAsia="SimSun"/>
          <w:b/>
          <w:bCs/>
          <w:sz w:val="22"/>
          <w:szCs w:val="18"/>
        </w:rPr>
        <w:t>About GeoVax</w:t>
      </w:r>
    </w:p>
    <w:bookmarkEnd w:id="0"/>
    <w:p w14:paraId="2879B590" w14:textId="77777777" w:rsidR="007F536F" w:rsidRPr="007F536F" w:rsidRDefault="007F536F" w:rsidP="007F536F">
      <w:pPr>
        <w:widowControl w:val="0"/>
        <w:autoSpaceDE w:val="0"/>
        <w:autoSpaceDN w:val="0"/>
        <w:adjustRightInd w:val="0"/>
        <w:jc w:val="both"/>
        <w:outlineLvl w:val="0"/>
        <w:rPr>
          <w:rFonts w:eastAsia="SimSun"/>
          <w:color w:val="000000"/>
          <w:sz w:val="22"/>
          <w:szCs w:val="22"/>
        </w:rPr>
      </w:pPr>
    </w:p>
    <w:p w14:paraId="60371C58" w14:textId="77777777" w:rsidR="007F536F" w:rsidRPr="007F536F" w:rsidRDefault="007F536F" w:rsidP="007F536F">
      <w:pPr>
        <w:widowControl w:val="0"/>
        <w:autoSpaceDE w:val="0"/>
        <w:autoSpaceDN w:val="0"/>
        <w:adjustRightInd w:val="0"/>
        <w:jc w:val="both"/>
        <w:rPr>
          <w:rFonts w:eastAsia="SimSun"/>
          <w:color w:val="000000"/>
          <w:sz w:val="22"/>
          <w:szCs w:val="22"/>
        </w:rPr>
      </w:pPr>
      <w:r w:rsidRPr="007F536F">
        <w:rPr>
          <w:rFonts w:eastAsia="SimSun"/>
          <w:color w:val="000000"/>
          <w:sz w:val="22"/>
          <w:szCs w:val="22"/>
        </w:rPr>
        <w:t>GeoVax Labs, Inc. is a clinical-stage biotechnology company developing novel vaccines for many of the world’s most threatening infectious diseases and therapies for solid tumor cancers. The company’s lead clinical program is GEO-CM04S1, a next-generation COVID-19 vaccine for which GeoVax was recently awarded a BARDA-funded contract to sponsor a 10,000-participant Phase 2b clinical trial to evaluate the efficacy of GEO-CM04S1 versus an approved COVID-19 vaccine. In addition, GEO-CM04S1 is currently in three Phase 2 clinical trials, being evaluated as (1) a primary vaccine for immunocompromised patients such as those suffering from hematologic cancers and other patient populations for whom the current authorized COVID-19 vaccines are insufficient, (2) a booster vaccine in patients with chronic lymphocytic leukemia (CLL) and (3) a more robust, durable COVID-19 booster among healthy patients who previously received the mRNA vaccines. In oncology the lead clinical program is evaluating a novel oncolytic solid tumor gene-directed therapy, Gedeptin®, having recently completed a multicenter Phase 1/2 clinical trial for advanced head and neck cancers. A Phase 2 clinical trial in first recurrent head and neck cancer, evaluating Gedeptin</w:t>
      </w:r>
      <w:r w:rsidRPr="007F536F">
        <w:rPr>
          <w:rFonts w:eastAsia="SimSun"/>
          <w:color w:val="000000"/>
          <w:sz w:val="22"/>
          <w:szCs w:val="22"/>
          <w:vertAlign w:val="superscript"/>
        </w:rPr>
        <w:t>®</w:t>
      </w:r>
      <w:r w:rsidRPr="007F536F">
        <w:rPr>
          <w:rFonts w:eastAsia="SimSun"/>
          <w:color w:val="000000"/>
          <w:sz w:val="22"/>
          <w:szCs w:val="22"/>
        </w:rPr>
        <w:t xml:space="preserve"> combined with an immune checkpoint inhibitor is planned. GeoVax has a strong IP portfolio in support of its technologies and product candidates, holding worldwide rights for its technologies and products. The Company has a leadership team who have driven significant value creation across multiple life science companies over the past several decades. For more information about the </w:t>
      </w:r>
      <w:proofErr w:type="gramStart"/>
      <w:r w:rsidRPr="007F536F">
        <w:rPr>
          <w:rFonts w:eastAsia="SimSun"/>
          <w:color w:val="000000"/>
          <w:sz w:val="22"/>
          <w:szCs w:val="22"/>
        </w:rPr>
        <w:t>current status</w:t>
      </w:r>
      <w:proofErr w:type="gramEnd"/>
      <w:r w:rsidRPr="007F536F">
        <w:rPr>
          <w:rFonts w:eastAsia="SimSun"/>
          <w:color w:val="000000"/>
          <w:sz w:val="22"/>
          <w:szCs w:val="22"/>
        </w:rPr>
        <w:t xml:space="preserve"> of our clinical trials and other updates, visit our website: </w:t>
      </w:r>
      <w:hyperlink r:id="rId12" w:history="1">
        <w:r w:rsidRPr="007F536F">
          <w:rPr>
            <w:rFonts w:eastAsia="SimSun"/>
            <w:color w:val="0000FF"/>
            <w:sz w:val="22"/>
            <w:szCs w:val="22"/>
            <w:u w:val="single"/>
          </w:rPr>
          <w:t>www.geovax.com</w:t>
        </w:r>
      </w:hyperlink>
      <w:r w:rsidRPr="007F536F">
        <w:rPr>
          <w:rFonts w:eastAsia="SimSun"/>
          <w:color w:val="000000"/>
          <w:sz w:val="22"/>
          <w:szCs w:val="22"/>
        </w:rPr>
        <w:t>.</w:t>
      </w:r>
    </w:p>
    <w:p w14:paraId="3D473D4D" w14:textId="77777777" w:rsidR="007F536F" w:rsidRPr="007F536F" w:rsidRDefault="007F536F" w:rsidP="007F536F">
      <w:pPr>
        <w:widowControl w:val="0"/>
        <w:autoSpaceDE w:val="0"/>
        <w:autoSpaceDN w:val="0"/>
        <w:adjustRightInd w:val="0"/>
        <w:jc w:val="both"/>
        <w:outlineLvl w:val="0"/>
        <w:rPr>
          <w:rFonts w:eastAsia="SimSun"/>
          <w:bCs/>
          <w:iCs/>
          <w:sz w:val="22"/>
          <w:szCs w:val="22"/>
        </w:rPr>
      </w:pPr>
    </w:p>
    <w:p w14:paraId="71078AF0" w14:textId="77777777" w:rsidR="007F536F" w:rsidRPr="007F536F" w:rsidRDefault="007F536F" w:rsidP="007F536F">
      <w:pPr>
        <w:jc w:val="both"/>
        <w:rPr>
          <w:i/>
          <w:iCs/>
          <w:sz w:val="20"/>
          <w:szCs w:val="20"/>
        </w:rPr>
      </w:pPr>
      <w:r w:rsidRPr="007F536F">
        <w:rPr>
          <w:i/>
          <w:iCs/>
          <w:sz w:val="20"/>
          <w:szCs w:val="20"/>
        </w:rPr>
        <w:t>Forward-Looking Statements</w:t>
      </w:r>
    </w:p>
    <w:p w14:paraId="4969FC78" w14:textId="77777777" w:rsidR="007F536F" w:rsidRPr="007F536F" w:rsidRDefault="007F536F" w:rsidP="007F536F">
      <w:pPr>
        <w:shd w:val="clear" w:color="auto" w:fill="FFFFFF"/>
        <w:jc w:val="both"/>
        <w:rPr>
          <w:sz w:val="22"/>
          <w:szCs w:val="22"/>
        </w:rPr>
      </w:pPr>
    </w:p>
    <w:p w14:paraId="02075500" w14:textId="77777777" w:rsidR="007F536F" w:rsidRPr="007F536F" w:rsidRDefault="007F536F" w:rsidP="007F536F">
      <w:pPr>
        <w:shd w:val="clear" w:color="auto" w:fill="FFFFFF"/>
        <w:jc w:val="both"/>
        <w:rPr>
          <w:rFonts w:eastAsia="SimSun"/>
          <w:i/>
          <w:iCs/>
          <w:sz w:val="20"/>
          <w:szCs w:val="20"/>
        </w:rPr>
      </w:pPr>
      <w:r w:rsidRPr="007F536F">
        <w:rPr>
          <w:rFonts w:eastAsia="SimSun"/>
          <w:i/>
          <w:iCs/>
          <w:sz w:val="20"/>
          <w:szCs w:val="20"/>
        </w:rPr>
        <w:t xml:space="preserve">This release contains forward-looking statements regarding GeoVax’s business plans. The words “believe,” “look forward to,” “may,” “estimate,” “continue,” “anticipate,” “intend,” “should,” “plan,” “could,” “target,” “potential,” “is likely,” “will,” “expect” and similar expressions, as they relate to us, are intended to identify forward-looking statements. We have based these forward-looking statements largely on our current expectations and projections about future events and financial trends that we believe may affect our financial condition, results of operations, business strategy and financial needs. Actual results may differ materially from those included in these statements due to a variety of factors, including whether: GeoVax is able to obtain acceptable results from ongoing or future clinical trials of its investigational products, GeoVax’s immuno-oncology products and preventative vaccines can provoke the desired responses, and those products or vaccines can be used effectively, GeoVax’s viral vector technology adequately amplifies immune responses to cancer antigens, GeoVax can develop and manufacture its immuno-oncology products and preventative vaccines with the desired characteristics in a timely manner, GeoVax’s immuno-oncology products and preventative vaccines will be safe for human use, GeoVax’s vaccines will effectively prevent targeted infections in humans, GeoVax’s immuno-oncology products and preventative vaccines will receive regulatory approvals necessary to be licensed and marketed, GeoVax raises required capital to complete development, there is development of competitive products that may be more effective or easier to use than GeoVax’s products, GeoVax will be able to enter into favorable manufacturing and distribution agreements, and other factors, over which GeoVax has no control. </w:t>
      </w:r>
    </w:p>
    <w:p w14:paraId="6E548676" w14:textId="77777777" w:rsidR="007F536F" w:rsidRPr="007F536F" w:rsidRDefault="007F536F" w:rsidP="007F536F">
      <w:pPr>
        <w:shd w:val="clear" w:color="auto" w:fill="FFFFFF"/>
        <w:jc w:val="both"/>
        <w:rPr>
          <w:rFonts w:eastAsia="SimSun"/>
          <w:i/>
          <w:iCs/>
          <w:sz w:val="20"/>
          <w:szCs w:val="20"/>
        </w:rPr>
      </w:pPr>
    </w:p>
    <w:p w14:paraId="3BB7562E" w14:textId="77777777" w:rsidR="007F536F" w:rsidRPr="007F536F" w:rsidRDefault="007F536F" w:rsidP="007F536F">
      <w:pPr>
        <w:shd w:val="clear" w:color="auto" w:fill="FFFFFF"/>
        <w:jc w:val="both"/>
        <w:rPr>
          <w:rFonts w:eastAsia="SimSun"/>
          <w:i/>
          <w:iCs/>
          <w:sz w:val="20"/>
          <w:szCs w:val="20"/>
        </w:rPr>
      </w:pPr>
      <w:r w:rsidRPr="007F536F">
        <w:rPr>
          <w:rFonts w:eastAsia="SimSun"/>
          <w:i/>
          <w:iCs/>
          <w:sz w:val="20"/>
          <w:szCs w:val="20"/>
        </w:rPr>
        <w:t xml:space="preserve">Further information on our risk factors is contained in our periodic reports on Form 10-Q and Form 10-K that we have filed and will file with the SEC. Any forward-looking statement made by us herein speaks only as of the date on which it is made. Factors or events that could cause our actual results to differ may emerge from time to time, and it is not possible for us to predict all of them. We undertake no obligation to publicly update any forward-looking statement, whether </w:t>
      </w:r>
      <w:proofErr w:type="gramStart"/>
      <w:r w:rsidRPr="007F536F">
        <w:rPr>
          <w:rFonts w:eastAsia="SimSun"/>
          <w:i/>
          <w:iCs/>
          <w:sz w:val="20"/>
          <w:szCs w:val="20"/>
        </w:rPr>
        <w:t>as a result of</w:t>
      </w:r>
      <w:proofErr w:type="gramEnd"/>
      <w:r w:rsidRPr="007F536F">
        <w:rPr>
          <w:rFonts w:eastAsia="SimSun"/>
          <w:i/>
          <w:iCs/>
          <w:sz w:val="20"/>
          <w:szCs w:val="20"/>
        </w:rPr>
        <w:t xml:space="preserve"> new information, future developments or otherwise, except as may be required by law. </w:t>
      </w:r>
    </w:p>
    <w:p w14:paraId="0371F01E" w14:textId="77777777" w:rsidR="007F536F" w:rsidRPr="007F536F" w:rsidRDefault="007F536F" w:rsidP="007F536F">
      <w:pPr>
        <w:jc w:val="both"/>
        <w:rPr>
          <w:bCs/>
          <w:sz w:val="22"/>
          <w:szCs w:val="22"/>
        </w:rPr>
      </w:pPr>
    </w:p>
    <w:p w14:paraId="4515545D" w14:textId="77777777" w:rsidR="007F536F" w:rsidRPr="007F536F" w:rsidRDefault="007F536F" w:rsidP="007F536F">
      <w:pPr>
        <w:tabs>
          <w:tab w:val="left" w:pos="2880"/>
          <w:tab w:val="left" w:pos="6480"/>
        </w:tabs>
        <w:jc w:val="both"/>
        <w:rPr>
          <w:b/>
          <w:sz w:val="22"/>
          <w:szCs w:val="22"/>
        </w:rPr>
      </w:pPr>
      <w:r w:rsidRPr="007F536F">
        <w:rPr>
          <w:b/>
          <w:sz w:val="22"/>
          <w:szCs w:val="22"/>
        </w:rPr>
        <w:t>Company Contact:</w:t>
      </w:r>
      <w:r w:rsidRPr="007F536F">
        <w:rPr>
          <w:b/>
          <w:sz w:val="22"/>
          <w:szCs w:val="22"/>
        </w:rPr>
        <w:tab/>
        <w:t>Investor Relations Contact:</w:t>
      </w:r>
      <w:r w:rsidRPr="007F536F">
        <w:rPr>
          <w:b/>
          <w:sz w:val="22"/>
          <w:szCs w:val="22"/>
        </w:rPr>
        <w:tab/>
        <w:t>Media Contact:</w:t>
      </w:r>
    </w:p>
    <w:p w14:paraId="5E5246BB" w14:textId="77777777" w:rsidR="007F536F" w:rsidRPr="007F536F" w:rsidRDefault="007F536F" w:rsidP="007F536F">
      <w:pPr>
        <w:tabs>
          <w:tab w:val="left" w:pos="2880"/>
          <w:tab w:val="left" w:pos="6480"/>
        </w:tabs>
        <w:jc w:val="both"/>
        <w:rPr>
          <w:bCs/>
          <w:sz w:val="22"/>
          <w:szCs w:val="22"/>
        </w:rPr>
      </w:pPr>
      <w:hyperlink r:id="rId13" w:history="1">
        <w:r w:rsidRPr="007F536F">
          <w:rPr>
            <w:bCs/>
            <w:color w:val="0000FF"/>
            <w:sz w:val="22"/>
            <w:szCs w:val="22"/>
            <w:u w:val="single"/>
          </w:rPr>
          <w:t>info@geovax.com</w:t>
        </w:r>
      </w:hyperlink>
      <w:r w:rsidRPr="007F536F">
        <w:rPr>
          <w:bCs/>
          <w:sz w:val="22"/>
          <w:szCs w:val="22"/>
        </w:rPr>
        <w:tab/>
      </w:r>
      <w:hyperlink r:id="rId14" w:history="1">
        <w:r w:rsidRPr="007F536F">
          <w:rPr>
            <w:color w:val="0000FF"/>
            <w:sz w:val="22"/>
            <w:szCs w:val="22"/>
            <w:u w:val="single"/>
          </w:rPr>
          <w:t>geovax@precisionaq.com</w:t>
        </w:r>
      </w:hyperlink>
      <w:r w:rsidRPr="007F536F">
        <w:rPr>
          <w:bCs/>
          <w:sz w:val="22"/>
          <w:szCs w:val="22"/>
        </w:rPr>
        <w:tab/>
      </w:r>
      <w:hyperlink r:id="rId15" w:history="1">
        <w:r w:rsidRPr="007F536F">
          <w:rPr>
            <w:bCs/>
            <w:color w:val="0000FF"/>
            <w:sz w:val="22"/>
            <w:szCs w:val="22"/>
            <w:u w:val="single"/>
          </w:rPr>
          <w:t>sr@roberts-communications.com</w:t>
        </w:r>
      </w:hyperlink>
    </w:p>
    <w:p w14:paraId="157050B3" w14:textId="77777777" w:rsidR="007F536F" w:rsidRPr="007F536F" w:rsidRDefault="007F536F" w:rsidP="007F536F">
      <w:pPr>
        <w:tabs>
          <w:tab w:val="left" w:pos="2880"/>
          <w:tab w:val="left" w:pos="6480"/>
        </w:tabs>
        <w:jc w:val="both"/>
        <w:rPr>
          <w:bCs/>
          <w:sz w:val="22"/>
          <w:szCs w:val="22"/>
        </w:rPr>
      </w:pPr>
      <w:r w:rsidRPr="007F536F">
        <w:rPr>
          <w:bCs/>
          <w:sz w:val="22"/>
          <w:szCs w:val="22"/>
        </w:rPr>
        <w:t>678-384-7220</w:t>
      </w:r>
      <w:r w:rsidRPr="007F536F">
        <w:rPr>
          <w:bCs/>
          <w:sz w:val="22"/>
          <w:szCs w:val="22"/>
        </w:rPr>
        <w:tab/>
        <w:t>212-698-8696</w:t>
      </w:r>
      <w:r w:rsidRPr="007F536F">
        <w:rPr>
          <w:bCs/>
          <w:sz w:val="22"/>
          <w:szCs w:val="22"/>
        </w:rPr>
        <w:tab/>
        <w:t>202-779-0929</w:t>
      </w:r>
    </w:p>
    <w:p w14:paraId="10D49190" w14:textId="77777777" w:rsidR="007F536F" w:rsidRPr="007F536F" w:rsidRDefault="007F536F" w:rsidP="007F536F">
      <w:pPr>
        <w:widowControl w:val="0"/>
        <w:shd w:val="clear" w:color="auto" w:fill="FFFFFF"/>
        <w:autoSpaceDE w:val="0"/>
        <w:autoSpaceDN w:val="0"/>
        <w:adjustRightInd w:val="0"/>
        <w:spacing w:after="120"/>
        <w:jc w:val="both"/>
        <w:rPr>
          <w:color w:val="000000"/>
          <w:sz w:val="20"/>
          <w:szCs w:val="20"/>
        </w:rPr>
      </w:pPr>
    </w:p>
    <w:p w14:paraId="45E0ED12" w14:textId="77777777" w:rsidR="007F536F" w:rsidRPr="007F536F" w:rsidRDefault="007F536F" w:rsidP="007F536F">
      <w:pPr>
        <w:widowControl w:val="0"/>
        <w:shd w:val="clear" w:color="auto" w:fill="FFFFFF"/>
        <w:autoSpaceDE w:val="0"/>
        <w:autoSpaceDN w:val="0"/>
        <w:adjustRightInd w:val="0"/>
        <w:spacing w:after="120"/>
        <w:jc w:val="both"/>
        <w:rPr>
          <w:color w:val="000000"/>
          <w:sz w:val="20"/>
          <w:szCs w:val="20"/>
        </w:rPr>
      </w:pPr>
    </w:p>
    <w:p w14:paraId="60F3A860" w14:textId="77777777" w:rsidR="007F536F" w:rsidRPr="007F536F" w:rsidRDefault="007F536F" w:rsidP="007F536F">
      <w:pPr>
        <w:widowControl w:val="0"/>
        <w:shd w:val="clear" w:color="auto" w:fill="FFFFFF"/>
        <w:autoSpaceDE w:val="0"/>
        <w:autoSpaceDN w:val="0"/>
        <w:adjustRightInd w:val="0"/>
        <w:spacing w:after="120"/>
        <w:jc w:val="both"/>
        <w:rPr>
          <w:color w:val="000000"/>
          <w:sz w:val="20"/>
          <w:szCs w:val="20"/>
        </w:rPr>
      </w:pPr>
    </w:p>
    <w:p w14:paraId="7E8F46BC" w14:textId="77777777" w:rsidR="007F536F" w:rsidRPr="007F536F" w:rsidRDefault="007F536F" w:rsidP="007F536F">
      <w:pPr>
        <w:widowControl w:val="0"/>
        <w:autoSpaceDE w:val="0"/>
        <w:autoSpaceDN w:val="0"/>
        <w:adjustRightInd w:val="0"/>
        <w:jc w:val="center"/>
        <w:rPr>
          <w:b/>
          <w:sz w:val="20"/>
          <w:szCs w:val="20"/>
        </w:rPr>
      </w:pPr>
    </w:p>
    <w:p w14:paraId="59998EA9" w14:textId="77777777" w:rsidR="007F536F" w:rsidRPr="007F536F" w:rsidRDefault="007F536F" w:rsidP="007F536F">
      <w:pPr>
        <w:widowControl w:val="0"/>
        <w:autoSpaceDE w:val="0"/>
        <w:autoSpaceDN w:val="0"/>
        <w:adjustRightInd w:val="0"/>
        <w:jc w:val="center"/>
        <w:rPr>
          <w:sz w:val="20"/>
          <w:szCs w:val="20"/>
        </w:rPr>
      </w:pPr>
      <w:r w:rsidRPr="007F536F">
        <w:rPr>
          <w:b/>
          <w:sz w:val="20"/>
          <w:szCs w:val="20"/>
        </w:rPr>
        <w:t>FINANCIAL TABLES FOLLOW</w:t>
      </w:r>
    </w:p>
    <w:p w14:paraId="7302C6AD" w14:textId="77777777" w:rsidR="007F536F" w:rsidRPr="007F536F" w:rsidRDefault="007F536F" w:rsidP="007F536F">
      <w:pPr>
        <w:widowControl w:val="0"/>
        <w:autoSpaceDE w:val="0"/>
        <w:autoSpaceDN w:val="0"/>
        <w:adjustRightInd w:val="0"/>
        <w:rPr>
          <w:sz w:val="20"/>
          <w:szCs w:val="20"/>
        </w:rPr>
        <w:sectPr w:rsidR="007F536F" w:rsidRPr="007F536F" w:rsidSect="007F536F">
          <w:headerReference w:type="even" r:id="rId16"/>
          <w:headerReference w:type="default" r:id="rId17"/>
          <w:footerReference w:type="even" r:id="rId18"/>
          <w:footerReference w:type="default" r:id="rId19"/>
          <w:headerReference w:type="first" r:id="rId20"/>
          <w:footerReference w:type="first" r:id="rId21"/>
          <w:pgSz w:w="12240" w:h="15840" w:code="1"/>
          <w:pgMar w:top="1440" w:right="1296" w:bottom="1008" w:left="1296" w:header="547" w:footer="576" w:gutter="0"/>
          <w:pgNumType w:start="0"/>
          <w:cols w:space="720"/>
          <w:titlePg/>
          <w:docGrid w:linePitch="272"/>
        </w:sectPr>
      </w:pPr>
    </w:p>
    <w:tbl>
      <w:tblPr>
        <w:tblW w:w="9930" w:type="dxa"/>
        <w:tblLayout w:type="fixed"/>
        <w:tblCellMar>
          <w:left w:w="30" w:type="dxa"/>
          <w:right w:w="30" w:type="dxa"/>
        </w:tblCellMar>
        <w:tblLook w:val="0000" w:firstRow="0" w:lastRow="0" w:firstColumn="0" w:lastColumn="0" w:noHBand="0" w:noVBand="0"/>
      </w:tblPr>
      <w:tblGrid>
        <w:gridCol w:w="237"/>
        <w:gridCol w:w="1462"/>
        <w:gridCol w:w="2921"/>
        <w:gridCol w:w="478"/>
        <w:gridCol w:w="1208"/>
        <w:gridCol w:w="1208"/>
        <w:gridCol w:w="1201"/>
        <w:gridCol w:w="1208"/>
        <w:gridCol w:w="7"/>
      </w:tblGrid>
      <w:tr w:rsidR="007F536F" w:rsidRPr="007F536F" w14:paraId="538E29F4" w14:textId="77777777" w:rsidTr="00776F72">
        <w:trPr>
          <w:cantSplit/>
          <w:trHeight w:val="293"/>
        </w:trPr>
        <w:tc>
          <w:tcPr>
            <w:tcW w:w="9930" w:type="dxa"/>
            <w:gridSpan w:val="9"/>
          </w:tcPr>
          <w:p w14:paraId="4C8CE085" w14:textId="77777777" w:rsidR="007F536F" w:rsidRPr="007F536F" w:rsidRDefault="007F536F" w:rsidP="007F536F">
            <w:pPr>
              <w:widowControl w:val="0"/>
              <w:autoSpaceDE w:val="0"/>
              <w:autoSpaceDN w:val="0"/>
              <w:adjustRightInd w:val="0"/>
              <w:jc w:val="center"/>
              <w:rPr>
                <w:snapToGrid w:val="0"/>
                <w:sz w:val="20"/>
                <w:szCs w:val="20"/>
              </w:rPr>
            </w:pPr>
            <w:r w:rsidRPr="007F536F">
              <w:rPr>
                <w:b/>
                <w:bCs/>
                <w:snapToGrid w:val="0"/>
                <w:sz w:val="20"/>
                <w:szCs w:val="20"/>
              </w:rPr>
              <w:lastRenderedPageBreak/>
              <w:t>GEOVAX LABS, INC.</w:t>
            </w:r>
          </w:p>
        </w:tc>
      </w:tr>
      <w:tr w:rsidR="007F536F" w:rsidRPr="007F536F" w14:paraId="788989A7" w14:textId="77777777" w:rsidTr="00776F72">
        <w:trPr>
          <w:cantSplit/>
          <w:trHeight w:val="293"/>
        </w:trPr>
        <w:tc>
          <w:tcPr>
            <w:tcW w:w="9930" w:type="dxa"/>
            <w:gridSpan w:val="9"/>
          </w:tcPr>
          <w:p w14:paraId="0FEC551A" w14:textId="77777777" w:rsidR="007F536F" w:rsidRPr="007F536F" w:rsidRDefault="007F536F" w:rsidP="007F536F">
            <w:pPr>
              <w:widowControl w:val="0"/>
              <w:autoSpaceDE w:val="0"/>
              <w:autoSpaceDN w:val="0"/>
              <w:adjustRightInd w:val="0"/>
              <w:jc w:val="center"/>
              <w:rPr>
                <w:snapToGrid w:val="0"/>
                <w:sz w:val="20"/>
                <w:szCs w:val="20"/>
              </w:rPr>
            </w:pPr>
            <w:r w:rsidRPr="007F536F">
              <w:rPr>
                <w:b/>
                <w:bCs/>
                <w:snapToGrid w:val="0"/>
                <w:sz w:val="20"/>
                <w:szCs w:val="20"/>
              </w:rPr>
              <w:t>Condensed Consolidated Statements of Operations Information</w:t>
            </w:r>
          </w:p>
        </w:tc>
      </w:tr>
      <w:tr w:rsidR="007F536F" w:rsidRPr="007F536F" w14:paraId="019F6037" w14:textId="77777777" w:rsidTr="00776F72">
        <w:trPr>
          <w:cantSplit/>
          <w:trHeight w:val="293"/>
        </w:trPr>
        <w:tc>
          <w:tcPr>
            <w:tcW w:w="9930" w:type="dxa"/>
            <w:gridSpan w:val="9"/>
          </w:tcPr>
          <w:p w14:paraId="4F72C93F" w14:textId="77777777" w:rsidR="007F536F" w:rsidRPr="007F536F" w:rsidRDefault="007F536F" w:rsidP="007F536F">
            <w:pPr>
              <w:widowControl w:val="0"/>
              <w:autoSpaceDE w:val="0"/>
              <w:autoSpaceDN w:val="0"/>
              <w:adjustRightInd w:val="0"/>
              <w:jc w:val="center"/>
              <w:rPr>
                <w:i/>
                <w:snapToGrid w:val="0"/>
                <w:sz w:val="20"/>
                <w:szCs w:val="20"/>
              </w:rPr>
            </w:pPr>
            <w:r w:rsidRPr="007F536F">
              <w:rPr>
                <w:bCs/>
                <w:i/>
                <w:snapToGrid w:val="0"/>
                <w:sz w:val="20"/>
                <w:szCs w:val="20"/>
              </w:rPr>
              <w:t>(amounts in thousands, except common share information)</w:t>
            </w:r>
          </w:p>
        </w:tc>
      </w:tr>
      <w:tr w:rsidR="007F536F" w:rsidRPr="007F536F" w14:paraId="130742B9" w14:textId="77777777" w:rsidTr="00776F72">
        <w:trPr>
          <w:gridAfter w:val="1"/>
          <w:wAfter w:w="7" w:type="dxa"/>
          <w:trHeight w:val="293"/>
        </w:trPr>
        <w:tc>
          <w:tcPr>
            <w:tcW w:w="237" w:type="dxa"/>
          </w:tcPr>
          <w:p w14:paraId="5A3AC7CA" w14:textId="77777777" w:rsidR="007F536F" w:rsidRPr="007F536F" w:rsidRDefault="007F536F" w:rsidP="007F536F">
            <w:pPr>
              <w:widowControl w:val="0"/>
              <w:autoSpaceDE w:val="0"/>
              <w:autoSpaceDN w:val="0"/>
              <w:adjustRightInd w:val="0"/>
              <w:jc w:val="center"/>
              <w:rPr>
                <w:b/>
                <w:bCs/>
                <w:snapToGrid w:val="0"/>
                <w:sz w:val="20"/>
                <w:szCs w:val="20"/>
              </w:rPr>
            </w:pPr>
          </w:p>
        </w:tc>
        <w:tc>
          <w:tcPr>
            <w:tcW w:w="1462" w:type="dxa"/>
          </w:tcPr>
          <w:p w14:paraId="1C0F77DD" w14:textId="77777777" w:rsidR="007F536F" w:rsidRPr="007F536F" w:rsidRDefault="007F536F" w:rsidP="007F536F">
            <w:pPr>
              <w:widowControl w:val="0"/>
              <w:autoSpaceDE w:val="0"/>
              <w:autoSpaceDN w:val="0"/>
              <w:adjustRightInd w:val="0"/>
              <w:jc w:val="center"/>
              <w:rPr>
                <w:snapToGrid w:val="0"/>
                <w:sz w:val="20"/>
                <w:szCs w:val="20"/>
              </w:rPr>
            </w:pPr>
          </w:p>
        </w:tc>
        <w:tc>
          <w:tcPr>
            <w:tcW w:w="2921" w:type="dxa"/>
          </w:tcPr>
          <w:p w14:paraId="1876124F" w14:textId="77777777" w:rsidR="007F536F" w:rsidRPr="007F536F" w:rsidRDefault="007F536F" w:rsidP="007F536F">
            <w:pPr>
              <w:widowControl w:val="0"/>
              <w:autoSpaceDE w:val="0"/>
              <w:autoSpaceDN w:val="0"/>
              <w:adjustRightInd w:val="0"/>
              <w:jc w:val="center"/>
              <w:rPr>
                <w:snapToGrid w:val="0"/>
                <w:sz w:val="20"/>
                <w:szCs w:val="20"/>
              </w:rPr>
            </w:pPr>
          </w:p>
        </w:tc>
        <w:tc>
          <w:tcPr>
            <w:tcW w:w="478" w:type="dxa"/>
          </w:tcPr>
          <w:p w14:paraId="04A91CF2" w14:textId="77777777" w:rsidR="007F536F" w:rsidRPr="007F536F" w:rsidRDefault="007F536F" w:rsidP="007F536F">
            <w:pPr>
              <w:widowControl w:val="0"/>
              <w:autoSpaceDE w:val="0"/>
              <w:autoSpaceDN w:val="0"/>
              <w:adjustRightInd w:val="0"/>
              <w:jc w:val="center"/>
              <w:rPr>
                <w:snapToGrid w:val="0"/>
                <w:sz w:val="20"/>
                <w:szCs w:val="20"/>
              </w:rPr>
            </w:pPr>
          </w:p>
        </w:tc>
        <w:tc>
          <w:tcPr>
            <w:tcW w:w="1208" w:type="dxa"/>
          </w:tcPr>
          <w:p w14:paraId="66C824E3" w14:textId="77777777" w:rsidR="007F536F" w:rsidRPr="007F536F" w:rsidRDefault="007F536F" w:rsidP="007F536F">
            <w:pPr>
              <w:widowControl w:val="0"/>
              <w:autoSpaceDE w:val="0"/>
              <w:autoSpaceDN w:val="0"/>
              <w:adjustRightInd w:val="0"/>
              <w:jc w:val="center"/>
              <w:rPr>
                <w:snapToGrid w:val="0"/>
                <w:sz w:val="20"/>
                <w:szCs w:val="20"/>
              </w:rPr>
            </w:pPr>
          </w:p>
        </w:tc>
        <w:tc>
          <w:tcPr>
            <w:tcW w:w="1208" w:type="dxa"/>
          </w:tcPr>
          <w:p w14:paraId="273C026A" w14:textId="77777777" w:rsidR="007F536F" w:rsidRPr="007F536F" w:rsidRDefault="007F536F" w:rsidP="007F536F">
            <w:pPr>
              <w:widowControl w:val="0"/>
              <w:autoSpaceDE w:val="0"/>
              <w:autoSpaceDN w:val="0"/>
              <w:adjustRightInd w:val="0"/>
              <w:jc w:val="center"/>
              <w:rPr>
                <w:snapToGrid w:val="0"/>
                <w:sz w:val="20"/>
                <w:szCs w:val="20"/>
              </w:rPr>
            </w:pPr>
          </w:p>
        </w:tc>
        <w:tc>
          <w:tcPr>
            <w:tcW w:w="1201" w:type="dxa"/>
          </w:tcPr>
          <w:p w14:paraId="44357034" w14:textId="77777777" w:rsidR="007F536F" w:rsidRPr="007F536F" w:rsidRDefault="007F536F" w:rsidP="007F536F">
            <w:pPr>
              <w:widowControl w:val="0"/>
              <w:autoSpaceDE w:val="0"/>
              <w:autoSpaceDN w:val="0"/>
              <w:adjustRightInd w:val="0"/>
              <w:jc w:val="center"/>
              <w:rPr>
                <w:snapToGrid w:val="0"/>
                <w:sz w:val="20"/>
                <w:szCs w:val="20"/>
              </w:rPr>
            </w:pPr>
          </w:p>
        </w:tc>
        <w:tc>
          <w:tcPr>
            <w:tcW w:w="1208" w:type="dxa"/>
          </w:tcPr>
          <w:p w14:paraId="511E509C" w14:textId="77777777" w:rsidR="007F536F" w:rsidRPr="007F536F" w:rsidRDefault="007F536F" w:rsidP="007F536F">
            <w:pPr>
              <w:widowControl w:val="0"/>
              <w:autoSpaceDE w:val="0"/>
              <w:autoSpaceDN w:val="0"/>
              <w:adjustRightInd w:val="0"/>
              <w:jc w:val="center"/>
              <w:rPr>
                <w:snapToGrid w:val="0"/>
                <w:sz w:val="20"/>
                <w:szCs w:val="20"/>
              </w:rPr>
            </w:pPr>
          </w:p>
        </w:tc>
      </w:tr>
      <w:tr w:rsidR="007F536F" w:rsidRPr="007F536F" w14:paraId="261A7396" w14:textId="77777777" w:rsidTr="00776F72">
        <w:trPr>
          <w:trHeight w:val="276"/>
        </w:trPr>
        <w:tc>
          <w:tcPr>
            <w:tcW w:w="237" w:type="dxa"/>
          </w:tcPr>
          <w:p w14:paraId="189762B7" w14:textId="77777777" w:rsidR="007F536F" w:rsidRPr="007F536F" w:rsidRDefault="007F536F" w:rsidP="007F536F">
            <w:pPr>
              <w:widowControl w:val="0"/>
              <w:autoSpaceDE w:val="0"/>
              <w:autoSpaceDN w:val="0"/>
              <w:adjustRightInd w:val="0"/>
              <w:jc w:val="right"/>
              <w:rPr>
                <w:snapToGrid w:val="0"/>
                <w:sz w:val="20"/>
                <w:szCs w:val="20"/>
              </w:rPr>
            </w:pPr>
          </w:p>
        </w:tc>
        <w:tc>
          <w:tcPr>
            <w:tcW w:w="1462" w:type="dxa"/>
          </w:tcPr>
          <w:p w14:paraId="02B2C01B" w14:textId="77777777" w:rsidR="007F536F" w:rsidRPr="007F536F" w:rsidRDefault="007F536F" w:rsidP="007F536F">
            <w:pPr>
              <w:widowControl w:val="0"/>
              <w:autoSpaceDE w:val="0"/>
              <w:autoSpaceDN w:val="0"/>
              <w:adjustRightInd w:val="0"/>
              <w:jc w:val="right"/>
              <w:rPr>
                <w:snapToGrid w:val="0"/>
                <w:sz w:val="20"/>
                <w:szCs w:val="20"/>
              </w:rPr>
            </w:pPr>
          </w:p>
        </w:tc>
        <w:tc>
          <w:tcPr>
            <w:tcW w:w="2921" w:type="dxa"/>
          </w:tcPr>
          <w:p w14:paraId="1E807313" w14:textId="77777777" w:rsidR="007F536F" w:rsidRPr="007F536F" w:rsidRDefault="007F536F" w:rsidP="007F536F">
            <w:pPr>
              <w:widowControl w:val="0"/>
              <w:autoSpaceDE w:val="0"/>
              <w:autoSpaceDN w:val="0"/>
              <w:adjustRightInd w:val="0"/>
              <w:jc w:val="right"/>
              <w:rPr>
                <w:snapToGrid w:val="0"/>
                <w:sz w:val="20"/>
                <w:szCs w:val="20"/>
              </w:rPr>
            </w:pPr>
          </w:p>
        </w:tc>
        <w:tc>
          <w:tcPr>
            <w:tcW w:w="478" w:type="dxa"/>
          </w:tcPr>
          <w:p w14:paraId="40CB5A46" w14:textId="77777777" w:rsidR="007F536F" w:rsidRPr="007F536F" w:rsidRDefault="007F536F" w:rsidP="007F536F">
            <w:pPr>
              <w:widowControl w:val="0"/>
              <w:autoSpaceDE w:val="0"/>
              <w:autoSpaceDN w:val="0"/>
              <w:adjustRightInd w:val="0"/>
              <w:jc w:val="right"/>
              <w:rPr>
                <w:snapToGrid w:val="0"/>
                <w:sz w:val="20"/>
                <w:szCs w:val="20"/>
              </w:rPr>
            </w:pPr>
          </w:p>
        </w:tc>
        <w:tc>
          <w:tcPr>
            <w:tcW w:w="2416" w:type="dxa"/>
            <w:gridSpan w:val="2"/>
          </w:tcPr>
          <w:p w14:paraId="54530D04" w14:textId="77777777" w:rsidR="007F536F" w:rsidRPr="007F536F" w:rsidRDefault="007F536F" w:rsidP="007F536F">
            <w:pPr>
              <w:widowControl w:val="0"/>
              <w:autoSpaceDE w:val="0"/>
              <w:autoSpaceDN w:val="0"/>
              <w:adjustRightInd w:val="0"/>
              <w:ind w:right="-210"/>
              <w:jc w:val="center"/>
              <w:rPr>
                <w:snapToGrid w:val="0"/>
                <w:sz w:val="20"/>
                <w:szCs w:val="20"/>
              </w:rPr>
            </w:pPr>
          </w:p>
        </w:tc>
        <w:tc>
          <w:tcPr>
            <w:tcW w:w="2416" w:type="dxa"/>
            <w:gridSpan w:val="3"/>
          </w:tcPr>
          <w:p w14:paraId="11272746" w14:textId="77777777" w:rsidR="007F536F" w:rsidRPr="007F536F" w:rsidRDefault="007F536F" w:rsidP="007F536F">
            <w:pPr>
              <w:widowControl w:val="0"/>
              <w:autoSpaceDE w:val="0"/>
              <w:autoSpaceDN w:val="0"/>
              <w:adjustRightInd w:val="0"/>
              <w:jc w:val="center"/>
              <w:rPr>
                <w:snapToGrid w:val="0"/>
                <w:sz w:val="20"/>
                <w:szCs w:val="20"/>
              </w:rPr>
            </w:pPr>
            <w:r w:rsidRPr="007F536F">
              <w:rPr>
                <w:snapToGrid w:val="0"/>
                <w:sz w:val="20"/>
                <w:szCs w:val="20"/>
              </w:rPr>
              <w:t>Year Ended</w:t>
            </w:r>
          </w:p>
        </w:tc>
      </w:tr>
      <w:tr w:rsidR="007F536F" w:rsidRPr="007F536F" w14:paraId="5FCFC323" w14:textId="77777777" w:rsidTr="00776F72">
        <w:trPr>
          <w:trHeight w:val="276"/>
        </w:trPr>
        <w:tc>
          <w:tcPr>
            <w:tcW w:w="237" w:type="dxa"/>
          </w:tcPr>
          <w:p w14:paraId="5FD0FC16" w14:textId="77777777" w:rsidR="007F536F" w:rsidRPr="007F536F" w:rsidRDefault="007F536F" w:rsidP="007F536F">
            <w:pPr>
              <w:widowControl w:val="0"/>
              <w:autoSpaceDE w:val="0"/>
              <w:autoSpaceDN w:val="0"/>
              <w:adjustRightInd w:val="0"/>
              <w:jc w:val="right"/>
              <w:rPr>
                <w:snapToGrid w:val="0"/>
                <w:sz w:val="20"/>
                <w:szCs w:val="20"/>
              </w:rPr>
            </w:pPr>
          </w:p>
        </w:tc>
        <w:tc>
          <w:tcPr>
            <w:tcW w:w="1462" w:type="dxa"/>
          </w:tcPr>
          <w:p w14:paraId="6F63B37A" w14:textId="77777777" w:rsidR="007F536F" w:rsidRPr="007F536F" w:rsidRDefault="007F536F" w:rsidP="007F536F">
            <w:pPr>
              <w:widowControl w:val="0"/>
              <w:autoSpaceDE w:val="0"/>
              <w:autoSpaceDN w:val="0"/>
              <w:adjustRightInd w:val="0"/>
              <w:jc w:val="right"/>
              <w:rPr>
                <w:snapToGrid w:val="0"/>
                <w:sz w:val="20"/>
                <w:szCs w:val="20"/>
              </w:rPr>
            </w:pPr>
          </w:p>
        </w:tc>
        <w:tc>
          <w:tcPr>
            <w:tcW w:w="2921" w:type="dxa"/>
          </w:tcPr>
          <w:p w14:paraId="5EE94734" w14:textId="77777777" w:rsidR="007F536F" w:rsidRPr="007F536F" w:rsidRDefault="007F536F" w:rsidP="007F536F">
            <w:pPr>
              <w:widowControl w:val="0"/>
              <w:autoSpaceDE w:val="0"/>
              <w:autoSpaceDN w:val="0"/>
              <w:adjustRightInd w:val="0"/>
              <w:jc w:val="right"/>
              <w:rPr>
                <w:snapToGrid w:val="0"/>
                <w:sz w:val="20"/>
                <w:szCs w:val="20"/>
              </w:rPr>
            </w:pPr>
          </w:p>
        </w:tc>
        <w:tc>
          <w:tcPr>
            <w:tcW w:w="478" w:type="dxa"/>
          </w:tcPr>
          <w:p w14:paraId="365D87B5" w14:textId="77777777" w:rsidR="007F536F" w:rsidRPr="007F536F" w:rsidRDefault="007F536F" w:rsidP="007F536F">
            <w:pPr>
              <w:widowControl w:val="0"/>
              <w:autoSpaceDE w:val="0"/>
              <w:autoSpaceDN w:val="0"/>
              <w:adjustRightInd w:val="0"/>
              <w:jc w:val="right"/>
              <w:rPr>
                <w:snapToGrid w:val="0"/>
                <w:sz w:val="20"/>
                <w:szCs w:val="20"/>
              </w:rPr>
            </w:pPr>
          </w:p>
        </w:tc>
        <w:tc>
          <w:tcPr>
            <w:tcW w:w="2416" w:type="dxa"/>
            <w:gridSpan w:val="2"/>
          </w:tcPr>
          <w:p w14:paraId="3D2C0139" w14:textId="77777777" w:rsidR="007F536F" w:rsidRPr="007F536F" w:rsidRDefault="007F536F" w:rsidP="007F536F">
            <w:pPr>
              <w:widowControl w:val="0"/>
              <w:autoSpaceDE w:val="0"/>
              <w:autoSpaceDN w:val="0"/>
              <w:adjustRightInd w:val="0"/>
              <w:jc w:val="center"/>
              <w:rPr>
                <w:snapToGrid w:val="0"/>
                <w:sz w:val="20"/>
                <w:szCs w:val="20"/>
              </w:rPr>
            </w:pPr>
          </w:p>
        </w:tc>
        <w:tc>
          <w:tcPr>
            <w:tcW w:w="2416" w:type="dxa"/>
            <w:gridSpan w:val="3"/>
            <w:tcBorders>
              <w:bottom w:val="single" w:sz="6" w:space="0" w:color="auto"/>
            </w:tcBorders>
          </w:tcPr>
          <w:p w14:paraId="5C37B2B5" w14:textId="77777777" w:rsidR="007F536F" w:rsidRPr="007F536F" w:rsidRDefault="007F536F" w:rsidP="007F536F">
            <w:pPr>
              <w:widowControl w:val="0"/>
              <w:autoSpaceDE w:val="0"/>
              <w:autoSpaceDN w:val="0"/>
              <w:adjustRightInd w:val="0"/>
              <w:jc w:val="center"/>
              <w:rPr>
                <w:snapToGrid w:val="0"/>
                <w:sz w:val="20"/>
                <w:szCs w:val="20"/>
              </w:rPr>
            </w:pPr>
            <w:r w:rsidRPr="007F536F">
              <w:rPr>
                <w:snapToGrid w:val="0"/>
                <w:sz w:val="20"/>
                <w:szCs w:val="20"/>
              </w:rPr>
              <w:t xml:space="preserve">December 31, </w:t>
            </w:r>
          </w:p>
        </w:tc>
      </w:tr>
      <w:tr w:rsidR="007F536F" w:rsidRPr="007F536F" w14:paraId="49A2BA0B" w14:textId="77777777" w:rsidTr="00776F72">
        <w:trPr>
          <w:gridAfter w:val="1"/>
          <w:wAfter w:w="7" w:type="dxa"/>
          <w:trHeight w:val="276"/>
        </w:trPr>
        <w:tc>
          <w:tcPr>
            <w:tcW w:w="237" w:type="dxa"/>
          </w:tcPr>
          <w:p w14:paraId="407DF972" w14:textId="77777777" w:rsidR="007F536F" w:rsidRPr="007F536F" w:rsidRDefault="007F536F" w:rsidP="007F536F">
            <w:pPr>
              <w:widowControl w:val="0"/>
              <w:autoSpaceDE w:val="0"/>
              <w:autoSpaceDN w:val="0"/>
              <w:adjustRightInd w:val="0"/>
              <w:jc w:val="right"/>
              <w:rPr>
                <w:snapToGrid w:val="0"/>
                <w:sz w:val="20"/>
                <w:szCs w:val="20"/>
              </w:rPr>
            </w:pPr>
          </w:p>
        </w:tc>
        <w:tc>
          <w:tcPr>
            <w:tcW w:w="1462" w:type="dxa"/>
          </w:tcPr>
          <w:p w14:paraId="3BD75B30" w14:textId="77777777" w:rsidR="007F536F" w:rsidRPr="007F536F" w:rsidRDefault="007F536F" w:rsidP="007F536F">
            <w:pPr>
              <w:widowControl w:val="0"/>
              <w:autoSpaceDE w:val="0"/>
              <w:autoSpaceDN w:val="0"/>
              <w:adjustRightInd w:val="0"/>
              <w:jc w:val="right"/>
              <w:rPr>
                <w:snapToGrid w:val="0"/>
                <w:sz w:val="20"/>
                <w:szCs w:val="20"/>
              </w:rPr>
            </w:pPr>
          </w:p>
        </w:tc>
        <w:tc>
          <w:tcPr>
            <w:tcW w:w="2921" w:type="dxa"/>
          </w:tcPr>
          <w:p w14:paraId="4FD212EF" w14:textId="77777777" w:rsidR="007F536F" w:rsidRPr="007F536F" w:rsidRDefault="007F536F" w:rsidP="007F536F">
            <w:pPr>
              <w:widowControl w:val="0"/>
              <w:autoSpaceDE w:val="0"/>
              <w:autoSpaceDN w:val="0"/>
              <w:adjustRightInd w:val="0"/>
              <w:jc w:val="right"/>
              <w:rPr>
                <w:snapToGrid w:val="0"/>
                <w:sz w:val="20"/>
                <w:szCs w:val="20"/>
              </w:rPr>
            </w:pPr>
          </w:p>
        </w:tc>
        <w:tc>
          <w:tcPr>
            <w:tcW w:w="478" w:type="dxa"/>
          </w:tcPr>
          <w:p w14:paraId="492D3423"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66361055" w14:textId="77777777" w:rsidR="007F536F" w:rsidRPr="007F536F" w:rsidRDefault="007F536F" w:rsidP="007F536F">
            <w:pPr>
              <w:widowControl w:val="0"/>
              <w:autoSpaceDE w:val="0"/>
              <w:autoSpaceDN w:val="0"/>
              <w:adjustRightInd w:val="0"/>
              <w:jc w:val="center"/>
              <w:rPr>
                <w:snapToGrid w:val="0"/>
                <w:sz w:val="20"/>
                <w:szCs w:val="20"/>
              </w:rPr>
            </w:pPr>
          </w:p>
        </w:tc>
        <w:tc>
          <w:tcPr>
            <w:tcW w:w="1208" w:type="dxa"/>
          </w:tcPr>
          <w:p w14:paraId="431D831E" w14:textId="77777777" w:rsidR="007F536F" w:rsidRPr="007F536F" w:rsidRDefault="007F536F" w:rsidP="007F536F">
            <w:pPr>
              <w:widowControl w:val="0"/>
              <w:autoSpaceDE w:val="0"/>
              <w:autoSpaceDN w:val="0"/>
              <w:adjustRightInd w:val="0"/>
              <w:jc w:val="center"/>
              <w:rPr>
                <w:snapToGrid w:val="0"/>
                <w:sz w:val="20"/>
                <w:szCs w:val="20"/>
              </w:rPr>
            </w:pPr>
          </w:p>
        </w:tc>
        <w:tc>
          <w:tcPr>
            <w:tcW w:w="1201" w:type="dxa"/>
            <w:tcBorders>
              <w:bottom w:val="single" w:sz="4" w:space="0" w:color="auto"/>
            </w:tcBorders>
          </w:tcPr>
          <w:p w14:paraId="5E3BE180" w14:textId="77777777" w:rsidR="007F536F" w:rsidRPr="007F536F" w:rsidRDefault="007F536F" w:rsidP="007F536F">
            <w:pPr>
              <w:widowControl w:val="0"/>
              <w:autoSpaceDE w:val="0"/>
              <w:autoSpaceDN w:val="0"/>
              <w:adjustRightInd w:val="0"/>
              <w:jc w:val="center"/>
              <w:rPr>
                <w:snapToGrid w:val="0"/>
                <w:sz w:val="20"/>
                <w:szCs w:val="20"/>
              </w:rPr>
            </w:pPr>
            <w:r w:rsidRPr="007F536F">
              <w:rPr>
                <w:snapToGrid w:val="0"/>
                <w:sz w:val="20"/>
                <w:szCs w:val="20"/>
              </w:rPr>
              <w:t>2024</w:t>
            </w:r>
          </w:p>
        </w:tc>
        <w:tc>
          <w:tcPr>
            <w:tcW w:w="1208" w:type="dxa"/>
            <w:tcBorders>
              <w:bottom w:val="single" w:sz="4" w:space="0" w:color="auto"/>
            </w:tcBorders>
          </w:tcPr>
          <w:p w14:paraId="3A46CFE8" w14:textId="77777777" w:rsidR="007F536F" w:rsidRPr="007F536F" w:rsidRDefault="007F536F" w:rsidP="007F536F">
            <w:pPr>
              <w:widowControl w:val="0"/>
              <w:autoSpaceDE w:val="0"/>
              <w:autoSpaceDN w:val="0"/>
              <w:adjustRightInd w:val="0"/>
              <w:jc w:val="center"/>
              <w:rPr>
                <w:snapToGrid w:val="0"/>
                <w:sz w:val="20"/>
                <w:szCs w:val="20"/>
              </w:rPr>
            </w:pPr>
            <w:r w:rsidRPr="007F536F">
              <w:rPr>
                <w:snapToGrid w:val="0"/>
                <w:sz w:val="20"/>
                <w:szCs w:val="20"/>
              </w:rPr>
              <w:t>2023</w:t>
            </w:r>
          </w:p>
        </w:tc>
      </w:tr>
      <w:tr w:rsidR="007F536F" w:rsidRPr="007F536F" w14:paraId="4EFC07E2" w14:textId="77777777" w:rsidTr="00776F72">
        <w:trPr>
          <w:gridAfter w:val="1"/>
          <w:wAfter w:w="7" w:type="dxa"/>
          <w:trHeight w:val="276"/>
        </w:trPr>
        <w:tc>
          <w:tcPr>
            <w:tcW w:w="4620" w:type="dxa"/>
            <w:gridSpan w:val="3"/>
          </w:tcPr>
          <w:p w14:paraId="02C80BC5" w14:textId="77777777" w:rsidR="007F536F" w:rsidRPr="007F536F" w:rsidRDefault="007F536F" w:rsidP="007F536F">
            <w:pPr>
              <w:widowControl w:val="0"/>
              <w:autoSpaceDE w:val="0"/>
              <w:autoSpaceDN w:val="0"/>
              <w:adjustRightInd w:val="0"/>
              <w:rPr>
                <w:snapToGrid w:val="0"/>
                <w:sz w:val="20"/>
                <w:szCs w:val="20"/>
              </w:rPr>
            </w:pPr>
            <w:r w:rsidRPr="007F536F">
              <w:rPr>
                <w:snapToGrid w:val="0"/>
                <w:sz w:val="20"/>
                <w:szCs w:val="20"/>
              </w:rPr>
              <w:t>Revenue from government contract</w:t>
            </w:r>
          </w:p>
        </w:tc>
        <w:tc>
          <w:tcPr>
            <w:tcW w:w="478" w:type="dxa"/>
          </w:tcPr>
          <w:p w14:paraId="4F783AE4"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52780AC1" w14:textId="77777777" w:rsidR="007F536F" w:rsidRPr="007F536F" w:rsidRDefault="007F536F" w:rsidP="007F536F">
            <w:pPr>
              <w:widowControl w:val="0"/>
              <w:tabs>
                <w:tab w:val="left" w:pos="150"/>
                <w:tab w:val="decimal" w:pos="960"/>
              </w:tabs>
              <w:autoSpaceDE w:val="0"/>
              <w:autoSpaceDN w:val="0"/>
              <w:adjustRightInd w:val="0"/>
              <w:rPr>
                <w:snapToGrid w:val="0"/>
                <w:sz w:val="20"/>
                <w:szCs w:val="20"/>
              </w:rPr>
            </w:pPr>
          </w:p>
        </w:tc>
        <w:tc>
          <w:tcPr>
            <w:tcW w:w="1208" w:type="dxa"/>
          </w:tcPr>
          <w:p w14:paraId="62417B5B" w14:textId="77777777" w:rsidR="007F536F" w:rsidRPr="007F536F" w:rsidRDefault="007F536F" w:rsidP="007F536F">
            <w:pPr>
              <w:widowControl w:val="0"/>
              <w:tabs>
                <w:tab w:val="left" w:pos="190"/>
                <w:tab w:val="decimal" w:pos="910"/>
              </w:tabs>
              <w:autoSpaceDE w:val="0"/>
              <w:autoSpaceDN w:val="0"/>
              <w:adjustRightInd w:val="0"/>
              <w:rPr>
                <w:snapToGrid w:val="0"/>
                <w:sz w:val="20"/>
                <w:szCs w:val="20"/>
              </w:rPr>
            </w:pPr>
          </w:p>
        </w:tc>
        <w:tc>
          <w:tcPr>
            <w:tcW w:w="1201" w:type="dxa"/>
          </w:tcPr>
          <w:p w14:paraId="05264BD2" w14:textId="77777777" w:rsidR="007F536F" w:rsidRPr="007F536F" w:rsidRDefault="007F536F" w:rsidP="007F536F">
            <w:pPr>
              <w:widowControl w:val="0"/>
              <w:tabs>
                <w:tab w:val="left" w:pos="140"/>
                <w:tab w:val="decimal" w:pos="860"/>
              </w:tabs>
              <w:autoSpaceDE w:val="0"/>
              <w:autoSpaceDN w:val="0"/>
              <w:adjustRightInd w:val="0"/>
              <w:jc w:val="right"/>
              <w:rPr>
                <w:snapToGrid w:val="0"/>
                <w:sz w:val="20"/>
                <w:szCs w:val="20"/>
              </w:rPr>
            </w:pPr>
            <w:r w:rsidRPr="007F536F">
              <w:rPr>
                <w:snapToGrid w:val="0"/>
                <w:sz w:val="20"/>
                <w:szCs w:val="20"/>
              </w:rPr>
              <w:tab/>
              <w:t>$</w:t>
            </w:r>
            <w:r w:rsidRPr="007F536F">
              <w:rPr>
                <w:snapToGrid w:val="0"/>
                <w:sz w:val="20"/>
                <w:szCs w:val="20"/>
              </w:rPr>
              <w:tab/>
              <w:t>3,955</w:t>
            </w:r>
          </w:p>
        </w:tc>
        <w:tc>
          <w:tcPr>
            <w:tcW w:w="1208" w:type="dxa"/>
          </w:tcPr>
          <w:p w14:paraId="29377123" w14:textId="77777777" w:rsidR="007F536F" w:rsidRPr="007F536F" w:rsidRDefault="007F536F" w:rsidP="007F536F">
            <w:pPr>
              <w:widowControl w:val="0"/>
              <w:tabs>
                <w:tab w:val="left" w:pos="97"/>
                <w:tab w:val="decimal" w:pos="907"/>
              </w:tabs>
              <w:autoSpaceDE w:val="0"/>
              <w:autoSpaceDN w:val="0"/>
              <w:adjustRightInd w:val="0"/>
              <w:jc w:val="right"/>
              <w:rPr>
                <w:snapToGrid w:val="0"/>
                <w:sz w:val="20"/>
                <w:szCs w:val="20"/>
              </w:rPr>
            </w:pPr>
            <w:r w:rsidRPr="007F536F">
              <w:rPr>
                <w:snapToGrid w:val="0"/>
                <w:sz w:val="20"/>
                <w:szCs w:val="20"/>
              </w:rPr>
              <w:tab/>
              <w:t>$</w:t>
            </w:r>
            <w:r w:rsidRPr="007F536F">
              <w:rPr>
                <w:snapToGrid w:val="0"/>
                <w:sz w:val="20"/>
                <w:szCs w:val="20"/>
              </w:rPr>
              <w:tab/>
              <w:t>-</w:t>
            </w:r>
          </w:p>
        </w:tc>
      </w:tr>
      <w:tr w:rsidR="007F536F" w:rsidRPr="007F536F" w14:paraId="6322AEBF" w14:textId="77777777" w:rsidTr="00776F72">
        <w:trPr>
          <w:gridAfter w:val="1"/>
          <w:wAfter w:w="7" w:type="dxa"/>
          <w:trHeight w:val="276"/>
        </w:trPr>
        <w:tc>
          <w:tcPr>
            <w:tcW w:w="237" w:type="dxa"/>
          </w:tcPr>
          <w:p w14:paraId="35C73D79" w14:textId="77777777" w:rsidR="007F536F" w:rsidRPr="007F536F" w:rsidRDefault="007F536F" w:rsidP="007F536F">
            <w:pPr>
              <w:widowControl w:val="0"/>
              <w:autoSpaceDE w:val="0"/>
              <w:autoSpaceDN w:val="0"/>
              <w:adjustRightInd w:val="0"/>
              <w:jc w:val="right"/>
              <w:rPr>
                <w:snapToGrid w:val="0"/>
                <w:sz w:val="20"/>
                <w:szCs w:val="20"/>
              </w:rPr>
            </w:pPr>
          </w:p>
        </w:tc>
        <w:tc>
          <w:tcPr>
            <w:tcW w:w="1462" w:type="dxa"/>
          </w:tcPr>
          <w:p w14:paraId="378E12AA" w14:textId="77777777" w:rsidR="007F536F" w:rsidRPr="007F536F" w:rsidRDefault="007F536F" w:rsidP="007F536F">
            <w:pPr>
              <w:widowControl w:val="0"/>
              <w:autoSpaceDE w:val="0"/>
              <w:autoSpaceDN w:val="0"/>
              <w:adjustRightInd w:val="0"/>
              <w:jc w:val="right"/>
              <w:rPr>
                <w:snapToGrid w:val="0"/>
                <w:sz w:val="20"/>
                <w:szCs w:val="20"/>
              </w:rPr>
            </w:pPr>
          </w:p>
        </w:tc>
        <w:tc>
          <w:tcPr>
            <w:tcW w:w="2921" w:type="dxa"/>
          </w:tcPr>
          <w:p w14:paraId="606ED714" w14:textId="77777777" w:rsidR="007F536F" w:rsidRPr="007F536F" w:rsidRDefault="007F536F" w:rsidP="007F536F">
            <w:pPr>
              <w:widowControl w:val="0"/>
              <w:autoSpaceDE w:val="0"/>
              <w:autoSpaceDN w:val="0"/>
              <w:adjustRightInd w:val="0"/>
              <w:jc w:val="right"/>
              <w:rPr>
                <w:snapToGrid w:val="0"/>
                <w:sz w:val="20"/>
                <w:szCs w:val="20"/>
              </w:rPr>
            </w:pPr>
          </w:p>
        </w:tc>
        <w:tc>
          <w:tcPr>
            <w:tcW w:w="478" w:type="dxa"/>
          </w:tcPr>
          <w:p w14:paraId="173DF382"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3EB38284" w14:textId="77777777" w:rsidR="007F536F" w:rsidRPr="007F536F" w:rsidRDefault="007F536F" w:rsidP="007F536F">
            <w:pPr>
              <w:widowControl w:val="0"/>
              <w:tabs>
                <w:tab w:val="decimal" w:pos="960"/>
              </w:tabs>
              <w:autoSpaceDE w:val="0"/>
              <w:autoSpaceDN w:val="0"/>
              <w:adjustRightInd w:val="0"/>
              <w:rPr>
                <w:snapToGrid w:val="0"/>
                <w:sz w:val="20"/>
                <w:szCs w:val="20"/>
              </w:rPr>
            </w:pPr>
          </w:p>
        </w:tc>
        <w:tc>
          <w:tcPr>
            <w:tcW w:w="1208" w:type="dxa"/>
          </w:tcPr>
          <w:p w14:paraId="07A2D5F4" w14:textId="77777777" w:rsidR="007F536F" w:rsidRPr="007F536F" w:rsidRDefault="007F536F" w:rsidP="007F536F">
            <w:pPr>
              <w:widowControl w:val="0"/>
              <w:tabs>
                <w:tab w:val="decimal" w:pos="910"/>
              </w:tabs>
              <w:autoSpaceDE w:val="0"/>
              <w:autoSpaceDN w:val="0"/>
              <w:adjustRightInd w:val="0"/>
              <w:rPr>
                <w:snapToGrid w:val="0"/>
                <w:sz w:val="20"/>
                <w:szCs w:val="20"/>
              </w:rPr>
            </w:pPr>
          </w:p>
        </w:tc>
        <w:tc>
          <w:tcPr>
            <w:tcW w:w="1201" w:type="dxa"/>
          </w:tcPr>
          <w:p w14:paraId="0CF69682" w14:textId="77777777" w:rsidR="007F536F" w:rsidRPr="007F536F" w:rsidRDefault="007F536F" w:rsidP="007F536F">
            <w:pPr>
              <w:widowControl w:val="0"/>
              <w:tabs>
                <w:tab w:val="decimal" w:pos="860"/>
              </w:tabs>
              <w:autoSpaceDE w:val="0"/>
              <w:autoSpaceDN w:val="0"/>
              <w:adjustRightInd w:val="0"/>
              <w:jc w:val="both"/>
              <w:rPr>
                <w:snapToGrid w:val="0"/>
                <w:sz w:val="20"/>
                <w:szCs w:val="20"/>
              </w:rPr>
            </w:pPr>
          </w:p>
        </w:tc>
        <w:tc>
          <w:tcPr>
            <w:tcW w:w="1208" w:type="dxa"/>
          </w:tcPr>
          <w:p w14:paraId="6AF8BAC9" w14:textId="77777777" w:rsidR="007F536F" w:rsidRPr="007F536F" w:rsidRDefault="007F536F" w:rsidP="007F536F">
            <w:pPr>
              <w:widowControl w:val="0"/>
              <w:tabs>
                <w:tab w:val="decimal" w:pos="907"/>
              </w:tabs>
              <w:autoSpaceDE w:val="0"/>
              <w:autoSpaceDN w:val="0"/>
              <w:adjustRightInd w:val="0"/>
              <w:jc w:val="both"/>
              <w:rPr>
                <w:snapToGrid w:val="0"/>
                <w:sz w:val="20"/>
                <w:szCs w:val="20"/>
              </w:rPr>
            </w:pPr>
          </w:p>
        </w:tc>
      </w:tr>
      <w:tr w:rsidR="007F536F" w:rsidRPr="007F536F" w14:paraId="371D83EE" w14:textId="77777777" w:rsidTr="00776F72">
        <w:trPr>
          <w:gridAfter w:val="1"/>
          <w:wAfter w:w="7" w:type="dxa"/>
          <w:trHeight w:val="276"/>
        </w:trPr>
        <w:tc>
          <w:tcPr>
            <w:tcW w:w="4620" w:type="dxa"/>
            <w:gridSpan w:val="3"/>
          </w:tcPr>
          <w:p w14:paraId="4496CDCC" w14:textId="77777777" w:rsidR="007F536F" w:rsidRPr="007F536F" w:rsidRDefault="007F536F" w:rsidP="007F536F">
            <w:pPr>
              <w:widowControl w:val="0"/>
              <w:autoSpaceDE w:val="0"/>
              <w:autoSpaceDN w:val="0"/>
              <w:adjustRightInd w:val="0"/>
              <w:rPr>
                <w:snapToGrid w:val="0"/>
                <w:sz w:val="20"/>
                <w:szCs w:val="20"/>
              </w:rPr>
            </w:pPr>
            <w:r w:rsidRPr="007F536F">
              <w:rPr>
                <w:snapToGrid w:val="0"/>
                <w:sz w:val="20"/>
                <w:szCs w:val="20"/>
              </w:rPr>
              <w:t>Operating expenses:</w:t>
            </w:r>
          </w:p>
        </w:tc>
        <w:tc>
          <w:tcPr>
            <w:tcW w:w="478" w:type="dxa"/>
          </w:tcPr>
          <w:p w14:paraId="6861E0FA"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0E00B6CF" w14:textId="77777777" w:rsidR="007F536F" w:rsidRPr="007F536F" w:rsidRDefault="007F536F" w:rsidP="007F536F">
            <w:pPr>
              <w:widowControl w:val="0"/>
              <w:tabs>
                <w:tab w:val="decimal" w:pos="960"/>
              </w:tabs>
              <w:autoSpaceDE w:val="0"/>
              <w:autoSpaceDN w:val="0"/>
              <w:adjustRightInd w:val="0"/>
              <w:rPr>
                <w:snapToGrid w:val="0"/>
                <w:sz w:val="20"/>
                <w:szCs w:val="20"/>
              </w:rPr>
            </w:pPr>
          </w:p>
        </w:tc>
        <w:tc>
          <w:tcPr>
            <w:tcW w:w="1208" w:type="dxa"/>
          </w:tcPr>
          <w:p w14:paraId="4C71CA76" w14:textId="77777777" w:rsidR="007F536F" w:rsidRPr="007F536F" w:rsidRDefault="007F536F" w:rsidP="007F536F">
            <w:pPr>
              <w:widowControl w:val="0"/>
              <w:tabs>
                <w:tab w:val="decimal" w:pos="910"/>
              </w:tabs>
              <w:autoSpaceDE w:val="0"/>
              <w:autoSpaceDN w:val="0"/>
              <w:adjustRightInd w:val="0"/>
              <w:rPr>
                <w:snapToGrid w:val="0"/>
                <w:sz w:val="20"/>
                <w:szCs w:val="20"/>
              </w:rPr>
            </w:pPr>
          </w:p>
        </w:tc>
        <w:tc>
          <w:tcPr>
            <w:tcW w:w="1201" w:type="dxa"/>
          </w:tcPr>
          <w:p w14:paraId="4470F19A" w14:textId="77777777" w:rsidR="007F536F" w:rsidRPr="007F536F" w:rsidRDefault="007F536F" w:rsidP="007F536F">
            <w:pPr>
              <w:widowControl w:val="0"/>
              <w:tabs>
                <w:tab w:val="decimal" w:pos="860"/>
              </w:tabs>
              <w:autoSpaceDE w:val="0"/>
              <w:autoSpaceDN w:val="0"/>
              <w:adjustRightInd w:val="0"/>
              <w:jc w:val="both"/>
              <w:rPr>
                <w:snapToGrid w:val="0"/>
                <w:sz w:val="20"/>
                <w:szCs w:val="20"/>
              </w:rPr>
            </w:pPr>
          </w:p>
        </w:tc>
        <w:tc>
          <w:tcPr>
            <w:tcW w:w="1208" w:type="dxa"/>
          </w:tcPr>
          <w:p w14:paraId="3BF16787" w14:textId="77777777" w:rsidR="007F536F" w:rsidRPr="007F536F" w:rsidRDefault="007F536F" w:rsidP="007F536F">
            <w:pPr>
              <w:widowControl w:val="0"/>
              <w:tabs>
                <w:tab w:val="decimal" w:pos="907"/>
              </w:tabs>
              <w:autoSpaceDE w:val="0"/>
              <w:autoSpaceDN w:val="0"/>
              <w:adjustRightInd w:val="0"/>
              <w:jc w:val="both"/>
              <w:rPr>
                <w:snapToGrid w:val="0"/>
                <w:sz w:val="20"/>
                <w:szCs w:val="20"/>
              </w:rPr>
            </w:pPr>
          </w:p>
        </w:tc>
      </w:tr>
      <w:tr w:rsidR="007F536F" w:rsidRPr="007F536F" w14:paraId="6DE5B470" w14:textId="77777777" w:rsidTr="00776F72">
        <w:trPr>
          <w:gridAfter w:val="1"/>
          <w:wAfter w:w="7" w:type="dxa"/>
          <w:trHeight w:val="276"/>
        </w:trPr>
        <w:tc>
          <w:tcPr>
            <w:tcW w:w="237" w:type="dxa"/>
          </w:tcPr>
          <w:p w14:paraId="025B0BCB" w14:textId="77777777" w:rsidR="007F536F" w:rsidRPr="007F536F" w:rsidRDefault="007F536F" w:rsidP="007F536F">
            <w:pPr>
              <w:widowControl w:val="0"/>
              <w:autoSpaceDE w:val="0"/>
              <w:autoSpaceDN w:val="0"/>
              <w:adjustRightInd w:val="0"/>
              <w:jc w:val="right"/>
              <w:rPr>
                <w:snapToGrid w:val="0"/>
                <w:sz w:val="20"/>
                <w:szCs w:val="20"/>
              </w:rPr>
            </w:pPr>
          </w:p>
        </w:tc>
        <w:tc>
          <w:tcPr>
            <w:tcW w:w="4383" w:type="dxa"/>
            <w:gridSpan w:val="2"/>
          </w:tcPr>
          <w:p w14:paraId="79E02569" w14:textId="77777777" w:rsidR="007F536F" w:rsidRPr="007F536F" w:rsidRDefault="007F536F" w:rsidP="007F536F">
            <w:pPr>
              <w:widowControl w:val="0"/>
              <w:autoSpaceDE w:val="0"/>
              <w:autoSpaceDN w:val="0"/>
              <w:adjustRightInd w:val="0"/>
              <w:rPr>
                <w:snapToGrid w:val="0"/>
                <w:sz w:val="20"/>
                <w:szCs w:val="20"/>
              </w:rPr>
            </w:pPr>
            <w:r w:rsidRPr="007F536F">
              <w:rPr>
                <w:snapToGrid w:val="0"/>
                <w:sz w:val="20"/>
                <w:szCs w:val="20"/>
              </w:rPr>
              <w:t>Research and development</w:t>
            </w:r>
          </w:p>
        </w:tc>
        <w:tc>
          <w:tcPr>
            <w:tcW w:w="478" w:type="dxa"/>
          </w:tcPr>
          <w:p w14:paraId="270835F8"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010B2937" w14:textId="77777777" w:rsidR="007F536F" w:rsidRPr="007F536F" w:rsidRDefault="007F536F" w:rsidP="007F536F">
            <w:pPr>
              <w:widowControl w:val="0"/>
              <w:tabs>
                <w:tab w:val="decimal" w:pos="960"/>
              </w:tabs>
              <w:autoSpaceDE w:val="0"/>
              <w:autoSpaceDN w:val="0"/>
              <w:adjustRightInd w:val="0"/>
              <w:rPr>
                <w:snapToGrid w:val="0"/>
                <w:sz w:val="20"/>
                <w:szCs w:val="20"/>
              </w:rPr>
            </w:pPr>
          </w:p>
        </w:tc>
        <w:tc>
          <w:tcPr>
            <w:tcW w:w="1208" w:type="dxa"/>
          </w:tcPr>
          <w:p w14:paraId="2438C659" w14:textId="77777777" w:rsidR="007F536F" w:rsidRPr="007F536F" w:rsidRDefault="007F536F" w:rsidP="007F536F">
            <w:pPr>
              <w:widowControl w:val="0"/>
              <w:tabs>
                <w:tab w:val="decimal" w:pos="910"/>
              </w:tabs>
              <w:autoSpaceDE w:val="0"/>
              <w:autoSpaceDN w:val="0"/>
              <w:adjustRightInd w:val="0"/>
              <w:rPr>
                <w:snapToGrid w:val="0"/>
                <w:sz w:val="20"/>
                <w:szCs w:val="20"/>
              </w:rPr>
            </w:pPr>
          </w:p>
        </w:tc>
        <w:tc>
          <w:tcPr>
            <w:tcW w:w="1201" w:type="dxa"/>
          </w:tcPr>
          <w:p w14:paraId="311E13FC" w14:textId="77777777" w:rsidR="007F536F" w:rsidRPr="007F536F" w:rsidRDefault="007F536F" w:rsidP="007F536F">
            <w:pPr>
              <w:widowControl w:val="0"/>
              <w:tabs>
                <w:tab w:val="decimal" w:pos="860"/>
              </w:tabs>
              <w:autoSpaceDE w:val="0"/>
              <w:autoSpaceDN w:val="0"/>
              <w:adjustRightInd w:val="0"/>
              <w:jc w:val="right"/>
              <w:rPr>
                <w:snapToGrid w:val="0"/>
                <w:sz w:val="20"/>
                <w:szCs w:val="20"/>
              </w:rPr>
            </w:pPr>
            <w:r w:rsidRPr="007F536F">
              <w:rPr>
                <w:snapToGrid w:val="0"/>
                <w:sz w:val="20"/>
                <w:szCs w:val="20"/>
              </w:rPr>
              <w:t>23,714</w:t>
            </w:r>
          </w:p>
        </w:tc>
        <w:tc>
          <w:tcPr>
            <w:tcW w:w="1208" w:type="dxa"/>
          </w:tcPr>
          <w:p w14:paraId="69F16CBE" w14:textId="77777777" w:rsidR="007F536F" w:rsidRPr="007F536F" w:rsidRDefault="007F536F" w:rsidP="007F536F">
            <w:pPr>
              <w:widowControl w:val="0"/>
              <w:tabs>
                <w:tab w:val="decimal" w:pos="907"/>
              </w:tabs>
              <w:autoSpaceDE w:val="0"/>
              <w:autoSpaceDN w:val="0"/>
              <w:adjustRightInd w:val="0"/>
              <w:jc w:val="right"/>
              <w:rPr>
                <w:snapToGrid w:val="0"/>
                <w:sz w:val="20"/>
                <w:szCs w:val="20"/>
              </w:rPr>
            </w:pPr>
            <w:r w:rsidRPr="007F536F">
              <w:rPr>
                <w:snapToGrid w:val="0"/>
                <w:sz w:val="20"/>
                <w:szCs w:val="20"/>
              </w:rPr>
              <w:t>20,721</w:t>
            </w:r>
          </w:p>
        </w:tc>
      </w:tr>
      <w:tr w:rsidR="007F536F" w:rsidRPr="007F536F" w14:paraId="3F7697CB" w14:textId="77777777" w:rsidTr="00776F72">
        <w:trPr>
          <w:gridAfter w:val="1"/>
          <w:wAfter w:w="7" w:type="dxa"/>
          <w:trHeight w:val="276"/>
        </w:trPr>
        <w:tc>
          <w:tcPr>
            <w:tcW w:w="237" w:type="dxa"/>
          </w:tcPr>
          <w:p w14:paraId="20481524" w14:textId="77777777" w:rsidR="007F536F" w:rsidRPr="007F536F" w:rsidRDefault="007F536F" w:rsidP="007F536F">
            <w:pPr>
              <w:widowControl w:val="0"/>
              <w:autoSpaceDE w:val="0"/>
              <w:autoSpaceDN w:val="0"/>
              <w:adjustRightInd w:val="0"/>
              <w:jc w:val="right"/>
              <w:rPr>
                <w:snapToGrid w:val="0"/>
                <w:sz w:val="20"/>
                <w:szCs w:val="20"/>
              </w:rPr>
            </w:pPr>
          </w:p>
        </w:tc>
        <w:tc>
          <w:tcPr>
            <w:tcW w:w="4383" w:type="dxa"/>
            <w:gridSpan w:val="2"/>
          </w:tcPr>
          <w:p w14:paraId="085FC1A6" w14:textId="77777777" w:rsidR="007F536F" w:rsidRPr="007F536F" w:rsidRDefault="007F536F" w:rsidP="007F536F">
            <w:pPr>
              <w:widowControl w:val="0"/>
              <w:autoSpaceDE w:val="0"/>
              <w:autoSpaceDN w:val="0"/>
              <w:adjustRightInd w:val="0"/>
              <w:rPr>
                <w:snapToGrid w:val="0"/>
                <w:sz w:val="20"/>
                <w:szCs w:val="20"/>
              </w:rPr>
            </w:pPr>
            <w:r w:rsidRPr="007F536F">
              <w:rPr>
                <w:snapToGrid w:val="0"/>
                <w:sz w:val="20"/>
                <w:szCs w:val="20"/>
              </w:rPr>
              <w:t>General and administrative</w:t>
            </w:r>
          </w:p>
        </w:tc>
        <w:tc>
          <w:tcPr>
            <w:tcW w:w="478" w:type="dxa"/>
          </w:tcPr>
          <w:p w14:paraId="5C94C04A"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51A1BF8F" w14:textId="77777777" w:rsidR="007F536F" w:rsidRPr="007F536F" w:rsidRDefault="007F536F" w:rsidP="007F536F">
            <w:pPr>
              <w:widowControl w:val="0"/>
              <w:tabs>
                <w:tab w:val="decimal" w:pos="960"/>
              </w:tabs>
              <w:autoSpaceDE w:val="0"/>
              <w:autoSpaceDN w:val="0"/>
              <w:adjustRightInd w:val="0"/>
              <w:rPr>
                <w:snapToGrid w:val="0"/>
                <w:sz w:val="20"/>
                <w:szCs w:val="20"/>
              </w:rPr>
            </w:pPr>
          </w:p>
        </w:tc>
        <w:tc>
          <w:tcPr>
            <w:tcW w:w="1208" w:type="dxa"/>
          </w:tcPr>
          <w:p w14:paraId="453EA146" w14:textId="77777777" w:rsidR="007F536F" w:rsidRPr="007F536F" w:rsidRDefault="007F536F" w:rsidP="007F536F">
            <w:pPr>
              <w:widowControl w:val="0"/>
              <w:tabs>
                <w:tab w:val="decimal" w:pos="910"/>
              </w:tabs>
              <w:autoSpaceDE w:val="0"/>
              <w:autoSpaceDN w:val="0"/>
              <w:adjustRightInd w:val="0"/>
              <w:rPr>
                <w:snapToGrid w:val="0"/>
                <w:sz w:val="20"/>
                <w:szCs w:val="20"/>
              </w:rPr>
            </w:pPr>
          </w:p>
        </w:tc>
        <w:tc>
          <w:tcPr>
            <w:tcW w:w="1201" w:type="dxa"/>
          </w:tcPr>
          <w:p w14:paraId="0EBDC97B" w14:textId="77777777" w:rsidR="007F536F" w:rsidRPr="007F536F" w:rsidRDefault="007F536F" w:rsidP="007F536F">
            <w:pPr>
              <w:widowControl w:val="0"/>
              <w:tabs>
                <w:tab w:val="decimal" w:pos="860"/>
              </w:tabs>
              <w:autoSpaceDE w:val="0"/>
              <w:autoSpaceDN w:val="0"/>
              <w:adjustRightInd w:val="0"/>
              <w:jc w:val="right"/>
              <w:rPr>
                <w:snapToGrid w:val="0"/>
                <w:sz w:val="20"/>
                <w:szCs w:val="20"/>
              </w:rPr>
            </w:pPr>
            <w:r w:rsidRPr="007F536F">
              <w:rPr>
                <w:snapToGrid w:val="0"/>
                <w:sz w:val="20"/>
                <w:szCs w:val="20"/>
              </w:rPr>
              <w:t>5,385</w:t>
            </w:r>
          </w:p>
        </w:tc>
        <w:tc>
          <w:tcPr>
            <w:tcW w:w="1208" w:type="dxa"/>
          </w:tcPr>
          <w:p w14:paraId="21E73F5D" w14:textId="77777777" w:rsidR="007F536F" w:rsidRPr="007F536F" w:rsidRDefault="007F536F" w:rsidP="007F536F">
            <w:pPr>
              <w:widowControl w:val="0"/>
              <w:tabs>
                <w:tab w:val="decimal" w:pos="907"/>
              </w:tabs>
              <w:autoSpaceDE w:val="0"/>
              <w:autoSpaceDN w:val="0"/>
              <w:adjustRightInd w:val="0"/>
              <w:jc w:val="right"/>
              <w:rPr>
                <w:snapToGrid w:val="0"/>
                <w:sz w:val="20"/>
                <w:szCs w:val="20"/>
              </w:rPr>
            </w:pPr>
            <w:r w:rsidRPr="007F536F">
              <w:rPr>
                <w:snapToGrid w:val="0"/>
                <w:sz w:val="20"/>
                <w:szCs w:val="20"/>
              </w:rPr>
              <w:t>6,022</w:t>
            </w:r>
          </w:p>
        </w:tc>
      </w:tr>
      <w:tr w:rsidR="007F536F" w:rsidRPr="007F536F" w14:paraId="4B2CEFD1" w14:textId="77777777" w:rsidTr="00776F72">
        <w:trPr>
          <w:gridAfter w:val="1"/>
          <w:wAfter w:w="7" w:type="dxa"/>
          <w:trHeight w:val="276"/>
        </w:trPr>
        <w:tc>
          <w:tcPr>
            <w:tcW w:w="237" w:type="dxa"/>
          </w:tcPr>
          <w:p w14:paraId="43AA2BC0" w14:textId="77777777" w:rsidR="007F536F" w:rsidRPr="007F536F" w:rsidRDefault="007F536F" w:rsidP="007F536F">
            <w:pPr>
              <w:widowControl w:val="0"/>
              <w:autoSpaceDE w:val="0"/>
              <w:autoSpaceDN w:val="0"/>
              <w:adjustRightInd w:val="0"/>
              <w:jc w:val="right"/>
              <w:rPr>
                <w:snapToGrid w:val="0"/>
                <w:sz w:val="20"/>
                <w:szCs w:val="20"/>
              </w:rPr>
            </w:pPr>
          </w:p>
        </w:tc>
        <w:tc>
          <w:tcPr>
            <w:tcW w:w="1462" w:type="dxa"/>
          </w:tcPr>
          <w:p w14:paraId="725D38E4" w14:textId="77777777" w:rsidR="007F536F" w:rsidRPr="007F536F" w:rsidRDefault="007F536F" w:rsidP="007F536F">
            <w:pPr>
              <w:widowControl w:val="0"/>
              <w:autoSpaceDE w:val="0"/>
              <w:autoSpaceDN w:val="0"/>
              <w:adjustRightInd w:val="0"/>
              <w:jc w:val="right"/>
              <w:rPr>
                <w:snapToGrid w:val="0"/>
                <w:sz w:val="20"/>
                <w:szCs w:val="20"/>
              </w:rPr>
            </w:pPr>
          </w:p>
        </w:tc>
        <w:tc>
          <w:tcPr>
            <w:tcW w:w="2921" w:type="dxa"/>
          </w:tcPr>
          <w:p w14:paraId="7D5C825A" w14:textId="77777777" w:rsidR="007F536F" w:rsidRPr="007F536F" w:rsidRDefault="007F536F" w:rsidP="007F536F">
            <w:pPr>
              <w:widowControl w:val="0"/>
              <w:autoSpaceDE w:val="0"/>
              <w:autoSpaceDN w:val="0"/>
              <w:adjustRightInd w:val="0"/>
              <w:jc w:val="right"/>
              <w:rPr>
                <w:snapToGrid w:val="0"/>
                <w:sz w:val="20"/>
                <w:szCs w:val="20"/>
              </w:rPr>
            </w:pPr>
          </w:p>
        </w:tc>
        <w:tc>
          <w:tcPr>
            <w:tcW w:w="478" w:type="dxa"/>
          </w:tcPr>
          <w:p w14:paraId="6101BCE4"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1AB85CF5" w14:textId="77777777" w:rsidR="007F536F" w:rsidRPr="007F536F" w:rsidRDefault="007F536F" w:rsidP="007F536F">
            <w:pPr>
              <w:widowControl w:val="0"/>
              <w:tabs>
                <w:tab w:val="decimal" w:pos="960"/>
              </w:tabs>
              <w:autoSpaceDE w:val="0"/>
              <w:autoSpaceDN w:val="0"/>
              <w:adjustRightInd w:val="0"/>
              <w:rPr>
                <w:snapToGrid w:val="0"/>
                <w:sz w:val="20"/>
                <w:szCs w:val="20"/>
              </w:rPr>
            </w:pPr>
          </w:p>
        </w:tc>
        <w:tc>
          <w:tcPr>
            <w:tcW w:w="1208" w:type="dxa"/>
          </w:tcPr>
          <w:p w14:paraId="2DD2EC96" w14:textId="77777777" w:rsidR="007F536F" w:rsidRPr="007F536F" w:rsidRDefault="007F536F" w:rsidP="007F536F">
            <w:pPr>
              <w:widowControl w:val="0"/>
              <w:tabs>
                <w:tab w:val="decimal" w:pos="910"/>
              </w:tabs>
              <w:autoSpaceDE w:val="0"/>
              <w:autoSpaceDN w:val="0"/>
              <w:adjustRightInd w:val="0"/>
              <w:rPr>
                <w:snapToGrid w:val="0"/>
                <w:sz w:val="20"/>
                <w:szCs w:val="20"/>
              </w:rPr>
            </w:pPr>
          </w:p>
        </w:tc>
        <w:tc>
          <w:tcPr>
            <w:tcW w:w="1201" w:type="dxa"/>
            <w:tcBorders>
              <w:top w:val="single" w:sz="6" w:space="0" w:color="auto"/>
            </w:tcBorders>
          </w:tcPr>
          <w:p w14:paraId="0FCAF835" w14:textId="77777777" w:rsidR="007F536F" w:rsidRPr="007F536F" w:rsidRDefault="007F536F" w:rsidP="007F536F">
            <w:pPr>
              <w:widowControl w:val="0"/>
              <w:tabs>
                <w:tab w:val="decimal" w:pos="860"/>
              </w:tabs>
              <w:autoSpaceDE w:val="0"/>
              <w:autoSpaceDN w:val="0"/>
              <w:adjustRightInd w:val="0"/>
              <w:jc w:val="right"/>
              <w:rPr>
                <w:snapToGrid w:val="0"/>
                <w:sz w:val="20"/>
                <w:szCs w:val="20"/>
              </w:rPr>
            </w:pPr>
            <w:r w:rsidRPr="007F536F">
              <w:rPr>
                <w:snapToGrid w:val="0"/>
                <w:sz w:val="20"/>
                <w:szCs w:val="20"/>
              </w:rPr>
              <w:t>29,099</w:t>
            </w:r>
          </w:p>
        </w:tc>
        <w:tc>
          <w:tcPr>
            <w:tcW w:w="1208" w:type="dxa"/>
            <w:tcBorders>
              <w:top w:val="single" w:sz="6" w:space="0" w:color="auto"/>
            </w:tcBorders>
          </w:tcPr>
          <w:p w14:paraId="78A0C831" w14:textId="77777777" w:rsidR="007F536F" w:rsidRPr="007F536F" w:rsidRDefault="007F536F" w:rsidP="007F536F">
            <w:pPr>
              <w:widowControl w:val="0"/>
              <w:tabs>
                <w:tab w:val="decimal" w:pos="907"/>
              </w:tabs>
              <w:autoSpaceDE w:val="0"/>
              <w:autoSpaceDN w:val="0"/>
              <w:adjustRightInd w:val="0"/>
              <w:jc w:val="right"/>
              <w:rPr>
                <w:snapToGrid w:val="0"/>
                <w:sz w:val="20"/>
                <w:szCs w:val="20"/>
              </w:rPr>
            </w:pPr>
            <w:r w:rsidRPr="007F536F">
              <w:rPr>
                <w:snapToGrid w:val="0"/>
                <w:sz w:val="20"/>
                <w:szCs w:val="20"/>
              </w:rPr>
              <w:t>26,743</w:t>
            </w:r>
          </w:p>
        </w:tc>
      </w:tr>
      <w:tr w:rsidR="007F536F" w:rsidRPr="007F536F" w14:paraId="095F65A6" w14:textId="77777777" w:rsidTr="00776F72">
        <w:trPr>
          <w:gridAfter w:val="1"/>
          <w:wAfter w:w="7" w:type="dxa"/>
          <w:trHeight w:val="276"/>
        </w:trPr>
        <w:tc>
          <w:tcPr>
            <w:tcW w:w="237" w:type="dxa"/>
          </w:tcPr>
          <w:p w14:paraId="15F9140C" w14:textId="77777777" w:rsidR="007F536F" w:rsidRPr="007F536F" w:rsidRDefault="007F536F" w:rsidP="007F536F">
            <w:pPr>
              <w:widowControl w:val="0"/>
              <w:autoSpaceDE w:val="0"/>
              <w:autoSpaceDN w:val="0"/>
              <w:adjustRightInd w:val="0"/>
              <w:jc w:val="right"/>
              <w:rPr>
                <w:snapToGrid w:val="0"/>
                <w:sz w:val="20"/>
                <w:szCs w:val="20"/>
              </w:rPr>
            </w:pPr>
          </w:p>
        </w:tc>
        <w:tc>
          <w:tcPr>
            <w:tcW w:w="4383" w:type="dxa"/>
            <w:gridSpan w:val="2"/>
          </w:tcPr>
          <w:p w14:paraId="0F82D226" w14:textId="77777777" w:rsidR="007F536F" w:rsidRPr="007F536F" w:rsidRDefault="007F536F" w:rsidP="007F536F">
            <w:pPr>
              <w:widowControl w:val="0"/>
              <w:autoSpaceDE w:val="0"/>
              <w:autoSpaceDN w:val="0"/>
              <w:adjustRightInd w:val="0"/>
              <w:rPr>
                <w:snapToGrid w:val="0"/>
                <w:sz w:val="20"/>
                <w:szCs w:val="20"/>
              </w:rPr>
            </w:pPr>
            <w:r w:rsidRPr="007F536F">
              <w:rPr>
                <w:snapToGrid w:val="0"/>
                <w:sz w:val="20"/>
                <w:szCs w:val="20"/>
              </w:rPr>
              <w:t>Loss from operations</w:t>
            </w:r>
          </w:p>
        </w:tc>
        <w:tc>
          <w:tcPr>
            <w:tcW w:w="478" w:type="dxa"/>
          </w:tcPr>
          <w:p w14:paraId="28C4C1B7"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1F484F04" w14:textId="77777777" w:rsidR="007F536F" w:rsidRPr="007F536F" w:rsidRDefault="007F536F" w:rsidP="007F536F">
            <w:pPr>
              <w:widowControl w:val="0"/>
              <w:tabs>
                <w:tab w:val="decimal" w:pos="960"/>
              </w:tabs>
              <w:autoSpaceDE w:val="0"/>
              <w:autoSpaceDN w:val="0"/>
              <w:adjustRightInd w:val="0"/>
              <w:rPr>
                <w:snapToGrid w:val="0"/>
                <w:sz w:val="20"/>
                <w:szCs w:val="20"/>
              </w:rPr>
            </w:pPr>
          </w:p>
        </w:tc>
        <w:tc>
          <w:tcPr>
            <w:tcW w:w="1208" w:type="dxa"/>
          </w:tcPr>
          <w:p w14:paraId="340C1582" w14:textId="77777777" w:rsidR="007F536F" w:rsidRPr="007F536F" w:rsidRDefault="007F536F" w:rsidP="007F536F">
            <w:pPr>
              <w:widowControl w:val="0"/>
              <w:tabs>
                <w:tab w:val="decimal" w:pos="910"/>
              </w:tabs>
              <w:autoSpaceDE w:val="0"/>
              <w:autoSpaceDN w:val="0"/>
              <w:adjustRightInd w:val="0"/>
              <w:jc w:val="center"/>
              <w:rPr>
                <w:snapToGrid w:val="0"/>
                <w:sz w:val="20"/>
                <w:szCs w:val="20"/>
              </w:rPr>
            </w:pPr>
          </w:p>
        </w:tc>
        <w:tc>
          <w:tcPr>
            <w:tcW w:w="1201" w:type="dxa"/>
            <w:tcBorders>
              <w:top w:val="single" w:sz="6" w:space="0" w:color="auto"/>
            </w:tcBorders>
          </w:tcPr>
          <w:p w14:paraId="4EA1F9E3" w14:textId="77777777" w:rsidR="007F536F" w:rsidRPr="007F536F" w:rsidRDefault="007F536F" w:rsidP="007F536F">
            <w:pPr>
              <w:widowControl w:val="0"/>
              <w:tabs>
                <w:tab w:val="decimal" w:pos="860"/>
              </w:tabs>
              <w:autoSpaceDE w:val="0"/>
              <w:autoSpaceDN w:val="0"/>
              <w:adjustRightInd w:val="0"/>
              <w:jc w:val="right"/>
              <w:rPr>
                <w:snapToGrid w:val="0"/>
                <w:sz w:val="20"/>
                <w:szCs w:val="20"/>
              </w:rPr>
            </w:pPr>
            <w:r w:rsidRPr="007F536F">
              <w:rPr>
                <w:snapToGrid w:val="0"/>
                <w:sz w:val="20"/>
                <w:szCs w:val="20"/>
              </w:rPr>
              <w:t>(25,144)</w:t>
            </w:r>
          </w:p>
        </w:tc>
        <w:tc>
          <w:tcPr>
            <w:tcW w:w="1208" w:type="dxa"/>
            <w:tcBorders>
              <w:top w:val="single" w:sz="6" w:space="0" w:color="auto"/>
            </w:tcBorders>
          </w:tcPr>
          <w:p w14:paraId="36FC5541" w14:textId="77777777" w:rsidR="007F536F" w:rsidRPr="007F536F" w:rsidRDefault="007F536F" w:rsidP="007F536F">
            <w:pPr>
              <w:widowControl w:val="0"/>
              <w:tabs>
                <w:tab w:val="decimal" w:pos="907"/>
              </w:tabs>
              <w:autoSpaceDE w:val="0"/>
              <w:autoSpaceDN w:val="0"/>
              <w:adjustRightInd w:val="0"/>
              <w:jc w:val="right"/>
              <w:rPr>
                <w:snapToGrid w:val="0"/>
                <w:sz w:val="20"/>
                <w:szCs w:val="20"/>
              </w:rPr>
            </w:pPr>
            <w:r w:rsidRPr="007F536F">
              <w:rPr>
                <w:snapToGrid w:val="0"/>
                <w:sz w:val="20"/>
                <w:szCs w:val="20"/>
              </w:rPr>
              <w:t>(26,743)</w:t>
            </w:r>
          </w:p>
        </w:tc>
      </w:tr>
      <w:tr w:rsidR="007F536F" w:rsidRPr="007F536F" w14:paraId="69FBD5F0" w14:textId="77777777" w:rsidTr="00776F72">
        <w:trPr>
          <w:gridAfter w:val="1"/>
          <w:wAfter w:w="7" w:type="dxa"/>
          <w:trHeight w:val="276"/>
        </w:trPr>
        <w:tc>
          <w:tcPr>
            <w:tcW w:w="237" w:type="dxa"/>
          </w:tcPr>
          <w:p w14:paraId="2BCB4C46" w14:textId="77777777" w:rsidR="007F536F" w:rsidRPr="007F536F" w:rsidRDefault="007F536F" w:rsidP="007F536F">
            <w:pPr>
              <w:widowControl w:val="0"/>
              <w:autoSpaceDE w:val="0"/>
              <w:autoSpaceDN w:val="0"/>
              <w:adjustRightInd w:val="0"/>
              <w:jc w:val="right"/>
              <w:rPr>
                <w:snapToGrid w:val="0"/>
                <w:sz w:val="20"/>
                <w:szCs w:val="20"/>
              </w:rPr>
            </w:pPr>
          </w:p>
        </w:tc>
        <w:tc>
          <w:tcPr>
            <w:tcW w:w="4383" w:type="dxa"/>
            <w:gridSpan w:val="2"/>
          </w:tcPr>
          <w:p w14:paraId="3139F166" w14:textId="77777777" w:rsidR="007F536F" w:rsidRPr="007F536F" w:rsidRDefault="007F536F" w:rsidP="007F536F">
            <w:pPr>
              <w:widowControl w:val="0"/>
              <w:autoSpaceDE w:val="0"/>
              <w:autoSpaceDN w:val="0"/>
              <w:adjustRightInd w:val="0"/>
              <w:rPr>
                <w:snapToGrid w:val="0"/>
                <w:sz w:val="20"/>
                <w:szCs w:val="20"/>
              </w:rPr>
            </w:pPr>
            <w:r w:rsidRPr="007F536F">
              <w:rPr>
                <w:snapToGrid w:val="0"/>
                <w:sz w:val="20"/>
                <w:szCs w:val="20"/>
              </w:rPr>
              <w:t>Other income (expense), net</w:t>
            </w:r>
          </w:p>
        </w:tc>
        <w:tc>
          <w:tcPr>
            <w:tcW w:w="478" w:type="dxa"/>
          </w:tcPr>
          <w:p w14:paraId="16EE92F9"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598927C8" w14:textId="77777777" w:rsidR="007F536F" w:rsidRPr="007F536F" w:rsidRDefault="007F536F" w:rsidP="007F536F">
            <w:pPr>
              <w:widowControl w:val="0"/>
              <w:tabs>
                <w:tab w:val="decimal" w:pos="960"/>
              </w:tabs>
              <w:autoSpaceDE w:val="0"/>
              <w:autoSpaceDN w:val="0"/>
              <w:adjustRightInd w:val="0"/>
              <w:rPr>
                <w:snapToGrid w:val="0"/>
                <w:sz w:val="20"/>
                <w:szCs w:val="20"/>
              </w:rPr>
            </w:pPr>
          </w:p>
        </w:tc>
        <w:tc>
          <w:tcPr>
            <w:tcW w:w="1208" w:type="dxa"/>
          </w:tcPr>
          <w:p w14:paraId="7DC80EE0" w14:textId="77777777" w:rsidR="007F536F" w:rsidRPr="007F536F" w:rsidRDefault="007F536F" w:rsidP="007F536F">
            <w:pPr>
              <w:widowControl w:val="0"/>
              <w:tabs>
                <w:tab w:val="decimal" w:pos="910"/>
              </w:tabs>
              <w:autoSpaceDE w:val="0"/>
              <w:autoSpaceDN w:val="0"/>
              <w:adjustRightInd w:val="0"/>
              <w:rPr>
                <w:snapToGrid w:val="0"/>
                <w:sz w:val="20"/>
                <w:szCs w:val="20"/>
              </w:rPr>
            </w:pPr>
          </w:p>
        </w:tc>
        <w:tc>
          <w:tcPr>
            <w:tcW w:w="1201" w:type="dxa"/>
          </w:tcPr>
          <w:p w14:paraId="7EEFA4CD" w14:textId="77777777" w:rsidR="007F536F" w:rsidRPr="007F536F" w:rsidRDefault="007F536F" w:rsidP="007F536F">
            <w:pPr>
              <w:widowControl w:val="0"/>
              <w:tabs>
                <w:tab w:val="decimal" w:pos="860"/>
              </w:tabs>
              <w:autoSpaceDE w:val="0"/>
              <w:autoSpaceDN w:val="0"/>
              <w:adjustRightInd w:val="0"/>
              <w:jc w:val="right"/>
              <w:rPr>
                <w:snapToGrid w:val="0"/>
                <w:sz w:val="20"/>
                <w:szCs w:val="20"/>
              </w:rPr>
            </w:pPr>
            <w:r w:rsidRPr="007F536F">
              <w:rPr>
                <w:snapToGrid w:val="0"/>
                <w:sz w:val="20"/>
                <w:szCs w:val="20"/>
              </w:rPr>
              <w:t>152</w:t>
            </w:r>
          </w:p>
        </w:tc>
        <w:tc>
          <w:tcPr>
            <w:tcW w:w="1208" w:type="dxa"/>
          </w:tcPr>
          <w:p w14:paraId="4A924F5F" w14:textId="77777777" w:rsidR="007F536F" w:rsidRPr="007F536F" w:rsidRDefault="007F536F" w:rsidP="007F536F">
            <w:pPr>
              <w:widowControl w:val="0"/>
              <w:tabs>
                <w:tab w:val="decimal" w:pos="907"/>
              </w:tabs>
              <w:autoSpaceDE w:val="0"/>
              <w:autoSpaceDN w:val="0"/>
              <w:adjustRightInd w:val="0"/>
              <w:jc w:val="right"/>
              <w:rPr>
                <w:snapToGrid w:val="0"/>
                <w:sz w:val="20"/>
                <w:szCs w:val="20"/>
              </w:rPr>
            </w:pPr>
            <w:r w:rsidRPr="007F536F">
              <w:rPr>
                <w:snapToGrid w:val="0"/>
                <w:sz w:val="20"/>
                <w:szCs w:val="20"/>
              </w:rPr>
              <w:t>776</w:t>
            </w:r>
          </w:p>
        </w:tc>
      </w:tr>
      <w:tr w:rsidR="007F536F" w:rsidRPr="007F536F" w14:paraId="254E05A6" w14:textId="77777777" w:rsidTr="00776F72">
        <w:trPr>
          <w:gridAfter w:val="1"/>
          <w:wAfter w:w="7" w:type="dxa"/>
          <w:trHeight w:val="276"/>
        </w:trPr>
        <w:tc>
          <w:tcPr>
            <w:tcW w:w="237" w:type="dxa"/>
          </w:tcPr>
          <w:p w14:paraId="7D4B3DA3" w14:textId="77777777" w:rsidR="007F536F" w:rsidRPr="007F536F" w:rsidRDefault="007F536F" w:rsidP="007F536F">
            <w:pPr>
              <w:widowControl w:val="0"/>
              <w:autoSpaceDE w:val="0"/>
              <w:autoSpaceDN w:val="0"/>
              <w:adjustRightInd w:val="0"/>
              <w:jc w:val="right"/>
              <w:rPr>
                <w:snapToGrid w:val="0"/>
                <w:sz w:val="20"/>
                <w:szCs w:val="20"/>
              </w:rPr>
            </w:pPr>
          </w:p>
        </w:tc>
        <w:tc>
          <w:tcPr>
            <w:tcW w:w="1462" w:type="dxa"/>
          </w:tcPr>
          <w:p w14:paraId="4A88942B" w14:textId="77777777" w:rsidR="007F536F" w:rsidRPr="007F536F" w:rsidRDefault="007F536F" w:rsidP="007F536F">
            <w:pPr>
              <w:widowControl w:val="0"/>
              <w:autoSpaceDE w:val="0"/>
              <w:autoSpaceDN w:val="0"/>
              <w:adjustRightInd w:val="0"/>
              <w:jc w:val="right"/>
              <w:rPr>
                <w:snapToGrid w:val="0"/>
                <w:sz w:val="20"/>
                <w:szCs w:val="20"/>
              </w:rPr>
            </w:pPr>
          </w:p>
        </w:tc>
        <w:tc>
          <w:tcPr>
            <w:tcW w:w="2921" w:type="dxa"/>
          </w:tcPr>
          <w:p w14:paraId="74A91C7F" w14:textId="77777777" w:rsidR="007F536F" w:rsidRPr="007F536F" w:rsidRDefault="007F536F" w:rsidP="007F536F">
            <w:pPr>
              <w:widowControl w:val="0"/>
              <w:autoSpaceDE w:val="0"/>
              <w:autoSpaceDN w:val="0"/>
              <w:adjustRightInd w:val="0"/>
              <w:jc w:val="right"/>
              <w:rPr>
                <w:snapToGrid w:val="0"/>
                <w:sz w:val="20"/>
                <w:szCs w:val="20"/>
              </w:rPr>
            </w:pPr>
          </w:p>
        </w:tc>
        <w:tc>
          <w:tcPr>
            <w:tcW w:w="478" w:type="dxa"/>
          </w:tcPr>
          <w:p w14:paraId="16B71D0A"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09E1C780" w14:textId="77777777" w:rsidR="007F536F" w:rsidRPr="007F536F" w:rsidRDefault="007F536F" w:rsidP="007F536F">
            <w:pPr>
              <w:widowControl w:val="0"/>
              <w:tabs>
                <w:tab w:val="decimal" w:pos="960"/>
              </w:tabs>
              <w:autoSpaceDE w:val="0"/>
              <w:autoSpaceDN w:val="0"/>
              <w:adjustRightInd w:val="0"/>
              <w:rPr>
                <w:snapToGrid w:val="0"/>
                <w:sz w:val="20"/>
                <w:szCs w:val="20"/>
              </w:rPr>
            </w:pPr>
          </w:p>
        </w:tc>
        <w:tc>
          <w:tcPr>
            <w:tcW w:w="1208" w:type="dxa"/>
          </w:tcPr>
          <w:p w14:paraId="35AF3C30" w14:textId="77777777" w:rsidR="007F536F" w:rsidRPr="007F536F" w:rsidRDefault="007F536F" w:rsidP="007F536F">
            <w:pPr>
              <w:widowControl w:val="0"/>
              <w:tabs>
                <w:tab w:val="decimal" w:pos="910"/>
              </w:tabs>
              <w:autoSpaceDE w:val="0"/>
              <w:autoSpaceDN w:val="0"/>
              <w:adjustRightInd w:val="0"/>
              <w:rPr>
                <w:snapToGrid w:val="0"/>
                <w:sz w:val="20"/>
                <w:szCs w:val="20"/>
              </w:rPr>
            </w:pPr>
          </w:p>
        </w:tc>
        <w:tc>
          <w:tcPr>
            <w:tcW w:w="1201" w:type="dxa"/>
            <w:tcBorders>
              <w:top w:val="single" w:sz="6" w:space="0" w:color="auto"/>
            </w:tcBorders>
          </w:tcPr>
          <w:p w14:paraId="1EA4CA3E" w14:textId="77777777" w:rsidR="007F536F" w:rsidRPr="007F536F" w:rsidRDefault="007F536F" w:rsidP="007F536F">
            <w:pPr>
              <w:widowControl w:val="0"/>
              <w:tabs>
                <w:tab w:val="decimal" w:pos="860"/>
              </w:tabs>
              <w:autoSpaceDE w:val="0"/>
              <w:autoSpaceDN w:val="0"/>
              <w:adjustRightInd w:val="0"/>
              <w:jc w:val="both"/>
              <w:rPr>
                <w:snapToGrid w:val="0"/>
                <w:sz w:val="20"/>
                <w:szCs w:val="20"/>
              </w:rPr>
            </w:pPr>
          </w:p>
        </w:tc>
        <w:tc>
          <w:tcPr>
            <w:tcW w:w="1208" w:type="dxa"/>
            <w:tcBorders>
              <w:top w:val="single" w:sz="6" w:space="0" w:color="auto"/>
            </w:tcBorders>
          </w:tcPr>
          <w:p w14:paraId="32EF66F8" w14:textId="77777777" w:rsidR="007F536F" w:rsidRPr="007F536F" w:rsidRDefault="007F536F" w:rsidP="007F536F">
            <w:pPr>
              <w:widowControl w:val="0"/>
              <w:tabs>
                <w:tab w:val="decimal" w:pos="907"/>
              </w:tabs>
              <w:autoSpaceDE w:val="0"/>
              <w:autoSpaceDN w:val="0"/>
              <w:adjustRightInd w:val="0"/>
              <w:jc w:val="both"/>
              <w:rPr>
                <w:snapToGrid w:val="0"/>
                <w:sz w:val="20"/>
                <w:szCs w:val="20"/>
              </w:rPr>
            </w:pPr>
          </w:p>
        </w:tc>
      </w:tr>
      <w:tr w:rsidR="007F536F" w:rsidRPr="007F536F" w14:paraId="179C0984" w14:textId="77777777" w:rsidTr="00776F72">
        <w:trPr>
          <w:gridAfter w:val="1"/>
          <w:wAfter w:w="7" w:type="dxa"/>
          <w:cantSplit/>
          <w:trHeight w:val="293"/>
        </w:trPr>
        <w:tc>
          <w:tcPr>
            <w:tcW w:w="4620" w:type="dxa"/>
            <w:gridSpan w:val="3"/>
          </w:tcPr>
          <w:p w14:paraId="3D3B64B5" w14:textId="77777777" w:rsidR="007F536F" w:rsidRPr="007F536F" w:rsidRDefault="007F536F" w:rsidP="007F536F">
            <w:pPr>
              <w:widowControl w:val="0"/>
              <w:autoSpaceDE w:val="0"/>
              <w:autoSpaceDN w:val="0"/>
              <w:adjustRightInd w:val="0"/>
              <w:rPr>
                <w:snapToGrid w:val="0"/>
                <w:sz w:val="20"/>
                <w:szCs w:val="20"/>
              </w:rPr>
            </w:pPr>
            <w:r w:rsidRPr="007F536F">
              <w:rPr>
                <w:snapToGrid w:val="0"/>
                <w:sz w:val="20"/>
                <w:szCs w:val="20"/>
              </w:rPr>
              <w:t>Net loss</w:t>
            </w:r>
          </w:p>
        </w:tc>
        <w:tc>
          <w:tcPr>
            <w:tcW w:w="478" w:type="dxa"/>
          </w:tcPr>
          <w:p w14:paraId="2A933E76"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6DCFEC03" w14:textId="77777777" w:rsidR="007F536F" w:rsidRPr="007F536F" w:rsidRDefault="007F536F" w:rsidP="007F536F">
            <w:pPr>
              <w:widowControl w:val="0"/>
              <w:tabs>
                <w:tab w:val="left" w:pos="150"/>
                <w:tab w:val="decimal" w:pos="960"/>
              </w:tabs>
              <w:autoSpaceDE w:val="0"/>
              <w:autoSpaceDN w:val="0"/>
              <w:adjustRightInd w:val="0"/>
              <w:rPr>
                <w:snapToGrid w:val="0"/>
                <w:sz w:val="20"/>
                <w:szCs w:val="20"/>
              </w:rPr>
            </w:pPr>
          </w:p>
        </w:tc>
        <w:tc>
          <w:tcPr>
            <w:tcW w:w="1208" w:type="dxa"/>
          </w:tcPr>
          <w:p w14:paraId="5C9E234D" w14:textId="77777777" w:rsidR="007F536F" w:rsidRPr="007F536F" w:rsidRDefault="007F536F" w:rsidP="007F536F">
            <w:pPr>
              <w:widowControl w:val="0"/>
              <w:tabs>
                <w:tab w:val="left" w:pos="100"/>
                <w:tab w:val="decimal" w:pos="910"/>
              </w:tabs>
              <w:autoSpaceDE w:val="0"/>
              <w:autoSpaceDN w:val="0"/>
              <w:adjustRightInd w:val="0"/>
              <w:rPr>
                <w:snapToGrid w:val="0"/>
                <w:sz w:val="20"/>
                <w:szCs w:val="20"/>
              </w:rPr>
            </w:pPr>
            <w:r w:rsidRPr="007F536F">
              <w:rPr>
                <w:snapToGrid w:val="0"/>
                <w:sz w:val="20"/>
                <w:szCs w:val="20"/>
              </w:rPr>
              <w:tab/>
            </w:r>
          </w:p>
        </w:tc>
        <w:tc>
          <w:tcPr>
            <w:tcW w:w="1201" w:type="dxa"/>
            <w:tcBorders>
              <w:bottom w:val="double" w:sz="6" w:space="0" w:color="auto"/>
            </w:tcBorders>
          </w:tcPr>
          <w:p w14:paraId="39BD36B0" w14:textId="77777777" w:rsidR="007F536F" w:rsidRPr="007F536F" w:rsidRDefault="007F536F" w:rsidP="007F536F">
            <w:pPr>
              <w:widowControl w:val="0"/>
              <w:tabs>
                <w:tab w:val="left" w:pos="50"/>
                <w:tab w:val="decimal" w:pos="860"/>
              </w:tabs>
              <w:autoSpaceDE w:val="0"/>
              <w:autoSpaceDN w:val="0"/>
              <w:adjustRightInd w:val="0"/>
              <w:jc w:val="right"/>
              <w:rPr>
                <w:snapToGrid w:val="0"/>
                <w:sz w:val="20"/>
                <w:szCs w:val="20"/>
              </w:rPr>
            </w:pPr>
            <w:r w:rsidRPr="007F536F">
              <w:rPr>
                <w:snapToGrid w:val="0"/>
                <w:sz w:val="20"/>
                <w:szCs w:val="20"/>
              </w:rPr>
              <w:tab/>
              <w:t>$</w:t>
            </w:r>
            <w:r w:rsidRPr="007F536F">
              <w:rPr>
                <w:snapToGrid w:val="0"/>
                <w:sz w:val="20"/>
                <w:szCs w:val="20"/>
              </w:rPr>
              <w:tab/>
              <w:t>(24,992)</w:t>
            </w:r>
          </w:p>
        </w:tc>
        <w:tc>
          <w:tcPr>
            <w:tcW w:w="1208" w:type="dxa"/>
            <w:tcBorders>
              <w:bottom w:val="double" w:sz="6" w:space="0" w:color="auto"/>
            </w:tcBorders>
          </w:tcPr>
          <w:p w14:paraId="2AE7BF20" w14:textId="77777777" w:rsidR="007F536F" w:rsidRPr="007F536F" w:rsidRDefault="007F536F" w:rsidP="007F536F">
            <w:pPr>
              <w:widowControl w:val="0"/>
              <w:tabs>
                <w:tab w:val="left" w:pos="97"/>
                <w:tab w:val="decimal" w:pos="907"/>
              </w:tabs>
              <w:autoSpaceDE w:val="0"/>
              <w:autoSpaceDN w:val="0"/>
              <w:adjustRightInd w:val="0"/>
              <w:jc w:val="right"/>
              <w:rPr>
                <w:snapToGrid w:val="0"/>
                <w:sz w:val="20"/>
                <w:szCs w:val="20"/>
              </w:rPr>
            </w:pPr>
            <w:r w:rsidRPr="007F536F">
              <w:rPr>
                <w:snapToGrid w:val="0"/>
                <w:sz w:val="20"/>
                <w:szCs w:val="20"/>
              </w:rPr>
              <w:tab/>
              <w:t>$</w:t>
            </w:r>
            <w:r w:rsidRPr="007F536F">
              <w:rPr>
                <w:snapToGrid w:val="0"/>
                <w:sz w:val="20"/>
                <w:szCs w:val="20"/>
              </w:rPr>
              <w:tab/>
              <w:t>(25,967)</w:t>
            </w:r>
          </w:p>
        </w:tc>
      </w:tr>
      <w:tr w:rsidR="007F536F" w:rsidRPr="007F536F" w14:paraId="0FA47503" w14:textId="77777777" w:rsidTr="00776F72">
        <w:trPr>
          <w:gridAfter w:val="1"/>
          <w:wAfter w:w="7" w:type="dxa"/>
          <w:trHeight w:val="293"/>
        </w:trPr>
        <w:tc>
          <w:tcPr>
            <w:tcW w:w="237" w:type="dxa"/>
          </w:tcPr>
          <w:p w14:paraId="5825CD17" w14:textId="77777777" w:rsidR="007F536F" w:rsidRPr="007F536F" w:rsidRDefault="007F536F" w:rsidP="007F536F">
            <w:pPr>
              <w:widowControl w:val="0"/>
              <w:autoSpaceDE w:val="0"/>
              <w:autoSpaceDN w:val="0"/>
              <w:adjustRightInd w:val="0"/>
              <w:jc w:val="right"/>
              <w:rPr>
                <w:snapToGrid w:val="0"/>
                <w:sz w:val="20"/>
                <w:szCs w:val="20"/>
              </w:rPr>
            </w:pPr>
          </w:p>
        </w:tc>
        <w:tc>
          <w:tcPr>
            <w:tcW w:w="1462" w:type="dxa"/>
          </w:tcPr>
          <w:p w14:paraId="3D39D7C7" w14:textId="77777777" w:rsidR="007F536F" w:rsidRPr="007F536F" w:rsidRDefault="007F536F" w:rsidP="007F536F">
            <w:pPr>
              <w:widowControl w:val="0"/>
              <w:autoSpaceDE w:val="0"/>
              <w:autoSpaceDN w:val="0"/>
              <w:adjustRightInd w:val="0"/>
              <w:jc w:val="right"/>
              <w:rPr>
                <w:snapToGrid w:val="0"/>
                <w:sz w:val="20"/>
                <w:szCs w:val="20"/>
              </w:rPr>
            </w:pPr>
          </w:p>
        </w:tc>
        <w:tc>
          <w:tcPr>
            <w:tcW w:w="2921" w:type="dxa"/>
          </w:tcPr>
          <w:p w14:paraId="6F17C0C3" w14:textId="77777777" w:rsidR="007F536F" w:rsidRPr="007F536F" w:rsidRDefault="007F536F" w:rsidP="007F536F">
            <w:pPr>
              <w:widowControl w:val="0"/>
              <w:autoSpaceDE w:val="0"/>
              <w:autoSpaceDN w:val="0"/>
              <w:adjustRightInd w:val="0"/>
              <w:jc w:val="right"/>
              <w:rPr>
                <w:snapToGrid w:val="0"/>
                <w:sz w:val="20"/>
                <w:szCs w:val="20"/>
              </w:rPr>
            </w:pPr>
          </w:p>
        </w:tc>
        <w:tc>
          <w:tcPr>
            <w:tcW w:w="478" w:type="dxa"/>
          </w:tcPr>
          <w:p w14:paraId="7D4AE003"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3C80D7F0" w14:textId="77777777" w:rsidR="007F536F" w:rsidRPr="007F536F" w:rsidRDefault="007F536F" w:rsidP="007F536F">
            <w:pPr>
              <w:widowControl w:val="0"/>
              <w:autoSpaceDE w:val="0"/>
              <w:autoSpaceDN w:val="0"/>
              <w:adjustRightInd w:val="0"/>
              <w:jc w:val="center"/>
              <w:rPr>
                <w:snapToGrid w:val="0"/>
                <w:sz w:val="20"/>
                <w:szCs w:val="20"/>
              </w:rPr>
            </w:pPr>
          </w:p>
        </w:tc>
        <w:tc>
          <w:tcPr>
            <w:tcW w:w="1208" w:type="dxa"/>
          </w:tcPr>
          <w:p w14:paraId="35E8EDFA" w14:textId="77777777" w:rsidR="007F536F" w:rsidRPr="007F536F" w:rsidRDefault="007F536F" w:rsidP="007F536F">
            <w:pPr>
              <w:widowControl w:val="0"/>
              <w:autoSpaceDE w:val="0"/>
              <w:autoSpaceDN w:val="0"/>
              <w:adjustRightInd w:val="0"/>
              <w:jc w:val="center"/>
              <w:rPr>
                <w:snapToGrid w:val="0"/>
                <w:sz w:val="20"/>
                <w:szCs w:val="20"/>
              </w:rPr>
            </w:pPr>
          </w:p>
        </w:tc>
        <w:tc>
          <w:tcPr>
            <w:tcW w:w="1201" w:type="dxa"/>
          </w:tcPr>
          <w:p w14:paraId="43FE56DA" w14:textId="77777777" w:rsidR="007F536F" w:rsidRPr="007F536F" w:rsidRDefault="007F536F" w:rsidP="007F536F">
            <w:pPr>
              <w:widowControl w:val="0"/>
              <w:autoSpaceDE w:val="0"/>
              <w:autoSpaceDN w:val="0"/>
              <w:adjustRightInd w:val="0"/>
              <w:jc w:val="both"/>
              <w:rPr>
                <w:snapToGrid w:val="0"/>
                <w:sz w:val="20"/>
                <w:szCs w:val="20"/>
              </w:rPr>
            </w:pPr>
          </w:p>
        </w:tc>
        <w:tc>
          <w:tcPr>
            <w:tcW w:w="1208" w:type="dxa"/>
          </w:tcPr>
          <w:p w14:paraId="0F56CA88" w14:textId="77777777" w:rsidR="007F536F" w:rsidRPr="007F536F" w:rsidRDefault="007F536F" w:rsidP="007F536F">
            <w:pPr>
              <w:widowControl w:val="0"/>
              <w:autoSpaceDE w:val="0"/>
              <w:autoSpaceDN w:val="0"/>
              <w:adjustRightInd w:val="0"/>
              <w:jc w:val="both"/>
              <w:rPr>
                <w:snapToGrid w:val="0"/>
                <w:sz w:val="20"/>
                <w:szCs w:val="20"/>
              </w:rPr>
            </w:pPr>
          </w:p>
        </w:tc>
      </w:tr>
      <w:tr w:rsidR="007F536F" w:rsidRPr="007F536F" w14:paraId="3195C8DE" w14:textId="77777777" w:rsidTr="00776F72">
        <w:trPr>
          <w:gridAfter w:val="1"/>
          <w:wAfter w:w="7" w:type="dxa"/>
          <w:trHeight w:val="276"/>
        </w:trPr>
        <w:tc>
          <w:tcPr>
            <w:tcW w:w="4620" w:type="dxa"/>
            <w:gridSpan w:val="3"/>
          </w:tcPr>
          <w:p w14:paraId="3329B102" w14:textId="77777777" w:rsidR="007F536F" w:rsidRPr="007F536F" w:rsidRDefault="007F536F" w:rsidP="007F536F">
            <w:pPr>
              <w:widowControl w:val="0"/>
              <w:autoSpaceDE w:val="0"/>
              <w:autoSpaceDN w:val="0"/>
              <w:adjustRightInd w:val="0"/>
              <w:rPr>
                <w:snapToGrid w:val="0"/>
                <w:sz w:val="20"/>
                <w:szCs w:val="20"/>
              </w:rPr>
            </w:pPr>
            <w:r w:rsidRPr="007F536F">
              <w:rPr>
                <w:snapToGrid w:val="0"/>
                <w:sz w:val="20"/>
                <w:szCs w:val="20"/>
              </w:rPr>
              <w:t>Net loss per common share</w:t>
            </w:r>
          </w:p>
        </w:tc>
        <w:tc>
          <w:tcPr>
            <w:tcW w:w="478" w:type="dxa"/>
          </w:tcPr>
          <w:p w14:paraId="6178670D"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631648F1" w14:textId="77777777" w:rsidR="007F536F" w:rsidRPr="007F536F" w:rsidRDefault="007F536F" w:rsidP="007F536F">
            <w:pPr>
              <w:widowControl w:val="0"/>
              <w:tabs>
                <w:tab w:val="left" w:pos="150"/>
                <w:tab w:val="decimal" w:pos="690"/>
              </w:tabs>
              <w:autoSpaceDE w:val="0"/>
              <w:autoSpaceDN w:val="0"/>
              <w:adjustRightInd w:val="0"/>
              <w:rPr>
                <w:snapToGrid w:val="0"/>
                <w:sz w:val="20"/>
                <w:szCs w:val="20"/>
              </w:rPr>
            </w:pPr>
          </w:p>
        </w:tc>
        <w:tc>
          <w:tcPr>
            <w:tcW w:w="1208" w:type="dxa"/>
          </w:tcPr>
          <w:p w14:paraId="68F942FB" w14:textId="77777777" w:rsidR="007F536F" w:rsidRPr="007F536F" w:rsidRDefault="007F536F" w:rsidP="007F536F">
            <w:pPr>
              <w:widowControl w:val="0"/>
              <w:tabs>
                <w:tab w:val="left" w:pos="100"/>
                <w:tab w:val="decimal" w:pos="640"/>
              </w:tabs>
              <w:autoSpaceDE w:val="0"/>
              <w:autoSpaceDN w:val="0"/>
              <w:adjustRightInd w:val="0"/>
              <w:rPr>
                <w:snapToGrid w:val="0"/>
                <w:sz w:val="20"/>
                <w:szCs w:val="20"/>
              </w:rPr>
            </w:pPr>
          </w:p>
        </w:tc>
        <w:tc>
          <w:tcPr>
            <w:tcW w:w="1201" w:type="dxa"/>
            <w:tcBorders>
              <w:bottom w:val="double" w:sz="4" w:space="0" w:color="auto"/>
            </w:tcBorders>
            <w:shd w:val="clear" w:color="auto" w:fill="auto"/>
          </w:tcPr>
          <w:p w14:paraId="3D8B7392" w14:textId="77777777" w:rsidR="007F536F" w:rsidRPr="007F536F" w:rsidRDefault="007F536F" w:rsidP="007F536F">
            <w:pPr>
              <w:widowControl w:val="0"/>
              <w:tabs>
                <w:tab w:val="left" w:pos="140"/>
                <w:tab w:val="decimal" w:pos="590"/>
              </w:tabs>
              <w:autoSpaceDE w:val="0"/>
              <w:autoSpaceDN w:val="0"/>
              <w:adjustRightInd w:val="0"/>
              <w:jc w:val="right"/>
              <w:rPr>
                <w:snapToGrid w:val="0"/>
                <w:sz w:val="20"/>
                <w:szCs w:val="20"/>
              </w:rPr>
            </w:pPr>
            <w:r w:rsidRPr="007F536F">
              <w:rPr>
                <w:snapToGrid w:val="0"/>
                <w:sz w:val="20"/>
                <w:szCs w:val="20"/>
              </w:rPr>
              <w:tab/>
              <w:t>$</w:t>
            </w:r>
            <w:r w:rsidRPr="007F536F">
              <w:rPr>
                <w:snapToGrid w:val="0"/>
                <w:sz w:val="20"/>
                <w:szCs w:val="20"/>
              </w:rPr>
              <w:tab/>
              <w:t xml:space="preserve">  </w:t>
            </w:r>
            <w:proofErr w:type="gramStart"/>
            <w:r w:rsidRPr="007F536F">
              <w:rPr>
                <w:snapToGrid w:val="0"/>
                <w:sz w:val="20"/>
                <w:szCs w:val="20"/>
              </w:rPr>
              <w:t xml:space="preserve">   (</w:t>
            </w:r>
            <w:proofErr w:type="gramEnd"/>
            <w:r w:rsidRPr="007F536F">
              <w:rPr>
                <w:snapToGrid w:val="0"/>
                <w:sz w:val="20"/>
                <w:szCs w:val="20"/>
              </w:rPr>
              <w:t>4.82)</w:t>
            </w:r>
          </w:p>
        </w:tc>
        <w:tc>
          <w:tcPr>
            <w:tcW w:w="1208" w:type="dxa"/>
            <w:tcBorders>
              <w:bottom w:val="double" w:sz="4" w:space="0" w:color="auto"/>
            </w:tcBorders>
            <w:shd w:val="clear" w:color="auto" w:fill="auto"/>
          </w:tcPr>
          <w:p w14:paraId="29DD8075" w14:textId="77777777" w:rsidR="007F536F" w:rsidRPr="007F536F" w:rsidRDefault="007F536F" w:rsidP="007F536F">
            <w:pPr>
              <w:widowControl w:val="0"/>
              <w:tabs>
                <w:tab w:val="left" w:pos="97"/>
                <w:tab w:val="decimal" w:pos="637"/>
              </w:tabs>
              <w:autoSpaceDE w:val="0"/>
              <w:autoSpaceDN w:val="0"/>
              <w:adjustRightInd w:val="0"/>
              <w:jc w:val="right"/>
              <w:rPr>
                <w:snapToGrid w:val="0"/>
                <w:sz w:val="20"/>
                <w:szCs w:val="20"/>
              </w:rPr>
            </w:pPr>
            <w:r w:rsidRPr="007F536F">
              <w:rPr>
                <w:snapToGrid w:val="0"/>
                <w:sz w:val="20"/>
                <w:szCs w:val="20"/>
              </w:rPr>
              <w:tab/>
              <w:t>$</w:t>
            </w:r>
            <w:r w:rsidRPr="007F536F">
              <w:rPr>
                <w:snapToGrid w:val="0"/>
                <w:sz w:val="20"/>
                <w:szCs w:val="20"/>
              </w:rPr>
              <w:tab/>
              <w:t>(14.29)</w:t>
            </w:r>
          </w:p>
        </w:tc>
      </w:tr>
      <w:tr w:rsidR="007F536F" w:rsidRPr="007F536F" w14:paraId="3F433CC5" w14:textId="77777777" w:rsidTr="00776F72">
        <w:trPr>
          <w:gridAfter w:val="1"/>
          <w:wAfter w:w="7" w:type="dxa"/>
          <w:trHeight w:val="276"/>
        </w:trPr>
        <w:tc>
          <w:tcPr>
            <w:tcW w:w="4620" w:type="dxa"/>
            <w:gridSpan w:val="3"/>
          </w:tcPr>
          <w:p w14:paraId="5A47C79C" w14:textId="77777777" w:rsidR="007F536F" w:rsidRPr="007F536F" w:rsidRDefault="007F536F" w:rsidP="007F536F">
            <w:pPr>
              <w:widowControl w:val="0"/>
              <w:autoSpaceDE w:val="0"/>
              <w:autoSpaceDN w:val="0"/>
              <w:adjustRightInd w:val="0"/>
              <w:rPr>
                <w:snapToGrid w:val="0"/>
                <w:sz w:val="20"/>
                <w:szCs w:val="20"/>
              </w:rPr>
            </w:pPr>
          </w:p>
        </w:tc>
        <w:tc>
          <w:tcPr>
            <w:tcW w:w="478" w:type="dxa"/>
          </w:tcPr>
          <w:p w14:paraId="0EC19925"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341CE261" w14:textId="77777777" w:rsidR="007F536F" w:rsidRPr="007F536F" w:rsidRDefault="007F536F" w:rsidP="007F536F">
            <w:pPr>
              <w:widowControl w:val="0"/>
              <w:tabs>
                <w:tab w:val="left" w:pos="150"/>
                <w:tab w:val="decimal" w:pos="690"/>
              </w:tabs>
              <w:autoSpaceDE w:val="0"/>
              <w:autoSpaceDN w:val="0"/>
              <w:adjustRightInd w:val="0"/>
              <w:rPr>
                <w:snapToGrid w:val="0"/>
                <w:sz w:val="20"/>
                <w:szCs w:val="20"/>
              </w:rPr>
            </w:pPr>
          </w:p>
        </w:tc>
        <w:tc>
          <w:tcPr>
            <w:tcW w:w="1208" w:type="dxa"/>
          </w:tcPr>
          <w:p w14:paraId="53257715" w14:textId="77777777" w:rsidR="007F536F" w:rsidRPr="007F536F" w:rsidRDefault="007F536F" w:rsidP="007F536F">
            <w:pPr>
              <w:widowControl w:val="0"/>
              <w:tabs>
                <w:tab w:val="left" w:pos="100"/>
                <w:tab w:val="decimal" w:pos="640"/>
              </w:tabs>
              <w:autoSpaceDE w:val="0"/>
              <w:autoSpaceDN w:val="0"/>
              <w:adjustRightInd w:val="0"/>
              <w:rPr>
                <w:snapToGrid w:val="0"/>
                <w:sz w:val="20"/>
                <w:szCs w:val="20"/>
              </w:rPr>
            </w:pPr>
          </w:p>
        </w:tc>
        <w:tc>
          <w:tcPr>
            <w:tcW w:w="1201" w:type="dxa"/>
          </w:tcPr>
          <w:p w14:paraId="5F564448" w14:textId="77777777" w:rsidR="007F536F" w:rsidRPr="007F536F" w:rsidRDefault="007F536F" w:rsidP="007F536F">
            <w:pPr>
              <w:widowControl w:val="0"/>
              <w:tabs>
                <w:tab w:val="left" w:pos="140"/>
                <w:tab w:val="decimal" w:pos="590"/>
              </w:tabs>
              <w:autoSpaceDE w:val="0"/>
              <w:autoSpaceDN w:val="0"/>
              <w:adjustRightInd w:val="0"/>
              <w:jc w:val="both"/>
              <w:rPr>
                <w:snapToGrid w:val="0"/>
                <w:sz w:val="20"/>
                <w:szCs w:val="20"/>
              </w:rPr>
            </w:pPr>
          </w:p>
        </w:tc>
        <w:tc>
          <w:tcPr>
            <w:tcW w:w="1208" w:type="dxa"/>
          </w:tcPr>
          <w:p w14:paraId="0B866E54" w14:textId="77777777" w:rsidR="007F536F" w:rsidRPr="007F536F" w:rsidRDefault="007F536F" w:rsidP="007F536F">
            <w:pPr>
              <w:widowControl w:val="0"/>
              <w:tabs>
                <w:tab w:val="left" w:pos="97"/>
                <w:tab w:val="decimal" w:pos="637"/>
              </w:tabs>
              <w:autoSpaceDE w:val="0"/>
              <w:autoSpaceDN w:val="0"/>
              <w:adjustRightInd w:val="0"/>
              <w:jc w:val="both"/>
              <w:rPr>
                <w:snapToGrid w:val="0"/>
                <w:sz w:val="20"/>
                <w:szCs w:val="20"/>
              </w:rPr>
            </w:pPr>
          </w:p>
        </w:tc>
      </w:tr>
      <w:tr w:rsidR="007F536F" w:rsidRPr="007F536F" w14:paraId="5C91C38C" w14:textId="77777777" w:rsidTr="00776F72">
        <w:trPr>
          <w:gridAfter w:val="1"/>
          <w:wAfter w:w="7" w:type="dxa"/>
          <w:trHeight w:val="276"/>
        </w:trPr>
        <w:tc>
          <w:tcPr>
            <w:tcW w:w="4620" w:type="dxa"/>
            <w:gridSpan w:val="3"/>
          </w:tcPr>
          <w:p w14:paraId="117F2A82" w14:textId="77777777" w:rsidR="007F536F" w:rsidRPr="007F536F" w:rsidRDefault="007F536F" w:rsidP="007F536F">
            <w:pPr>
              <w:widowControl w:val="0"/>
              <w:autoSpaceDE w:val="0"/>
              <w:autoSpaceDN w:val="0"/>
              <w:adjustRightInd w:val="0"/>
              <w:rPr>
                <w:snapToGrid w:val="0"/>
                <w:sz w:val="20"/>
                <w:szCs w:val="20"/>
              </w:rPr>
            </w:pPr>
            <w:r w:rsidRPr="007F536F">
              <w:rPr>
                <w:snapToGrid w:val="0"/>
                <w:sz w:val="20"/>
                <w:szCs w:val="20"/>
              </w:rPr>
              <w:t>Weighted average shares outstanding</w:t>
            </w:r>
          </w:p>
        </w:tc>
        <w:tc>
          <w:tcPr>
            <w:tcW w:w="478" w:type="dxa"/>
          </w:tcPr>
          <w:p w14:paraId="568E8801"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350472D8" w14:textId="77777777" w:rsidR="007F536F" w:rsidRPr="007F536F" w:rsidRDefault="007F536F" w:rsidP="007F536F">
            <w:pPr>
              <w:widowControl w:val="0"/>
              <w:tabs>
                <w:tab w:val="left" w:pos="150"/>
                <w:tab w:val="decimal" w:pos="690"/>
              </w:tabs>
              <w:autoSpaceDE w:val="0"/>
              <w:autoSpaceDN w:val="0"/>
              <w:adjustRightInd w:val="0"/>
              <w:rPr>
                <w:snapToGrid w:val="0"/>
                <w:sz w:val="20"/>
                <w:szCs w:val="20"/>
              </w:rPr>
            </w:pPr>
          </w:p>
        </w:tc>
        <w:tc>
          <w:tcPr>
            <w:tcW w:w="1208" w:type="dxa"/>
          </w:tcPr>
          <w:p w14:paraId="06B69234" w14:textId="77777777" w:rsidR="007F536F" w:rsidRPr="007F536F" w:rsidRDefault="007F536F" w:rsidP="007F536F">
            <w:pPr>
              <w:widowControl w:val="0"/>
              <w:tabs>
                <w:tab w:val="left" w:pos="100"/>
                <w:tab w:val="decimal" w:pos="640"/>
              </w:tabs>
              <w:autoSpaceDE w:val="0"/>
              <w:autoSpaceDN w:val="0"/>
              <w:adjustRightInd w:val="0"/>
              <w:rPr>
                <w:snapToGrid w:val="0"/>
                <w:sz w:val="20"/>
                <w:szCs w:val="20"/>
              </w:rPr>
            </w:pPr>
          </w:p>
        </w:tc>
        <w:tc>
          <w:tcPr>
            <w:tcW w:w="1201" w:type="dxa"/>
          </w:tcPr>
          <w:p w14:paraId="25137E2E" w14:textId="77777777" w:rsidR="007F536F" w:rsidRPr="007F536F" w:rsidRDefault="007F536F" w:rsidP="007F536F">
            <w:pPr>
              <w:widowControl w:val="0"/>
              <w:tabs>
                <w:tab w:val="left" w:pos="140"/>
                <w:tab w:val="decimal" w:pos="856"/>
              </w:tabs>
              <w:autoSpaceDE w:val="0"/>
              <w:autoSpaceDN w:val="0"/>
              <w:adjustRightInd w:val="0"/>
              <w:jc w:val="right"/>
              <w:rPr>
                <w:snapToGrid w:val="0"/>
                <w:sz w:val="20"/>
                <w:szCs w:val="20"/>
              </w:rPr>
            </w:pPr>
            <w:r w:rsidRPr="007F536F">
              <w:rPr>
                <w:snapToGrid w:val="0"/>
                <w:sz w:val="20"/>
                <w:szCs w:val="20"/>
              </w:rPr>
              <w:tab/>
            </w:r>
            <w:r w:rsidRPr="007F536F">
              <w:rPr>
                <w:snapToGrid w:val="0"/>
                <w:sz w:val="20"/>
                <w:szCs w:val="20"/>
              </w:rPr>
              <w:tab/>
              <w:t>5,187,038</w:t>
            </w:r>
          </w:p>
        </w:tc>
        <w:tc>
          <w:tcPr>
            <w:tcW w:w="1208" w:type="dxa"/>
          </w:tcPr>
          <w:p w14:paraId="77DC6168" w14:textId="77777777" w:rsidR="007F536F" w:rsidRPr="007F536F" w:rsidRDefault="007F536F" w:rsidP="007F536F">
            <w:pPr>
              <w:widowControl w:val="0"/>
              <w:tabs>
                <w:tab w:val="left" w:pos="97"/>
                <w:tab w:val="decimal" w:pos="908"/>
              </w:tabs>
              <w:autoSpaceDE w:val="0"/>
              <w:autoSpaceDN w:val="0"/>
              <w:adjustRightInd w:val="0"/>
              <w:jc w:val="right"/>
              <w:rPr>
                <w:snapToGrid w:val="0"/>
                <w:sz w:val="20"/>
                <w:szCs w:val="20"/>
              </w:rPr>
            </w:pPr>
            <w:r w:rsidRPr="007F536F">
              <w:rPr>
                <w:snapToGrid w:val="0"/>
                <w:sz w:val="20"/>
                <w:szCs w:val="20"/>
              </w:rPr>
              <w:tab/>
            </w:r>
            <w:r w:rsidRPr="007F536F">
              <w:rPr>
                <w:snapToGrid w:val="0"/>
                <w:sz w:val="20"/>
                <w:szCs w:val="20"/>
              </w:rPr>
              <w:tab/>
              <w:t>1,817,282</w:t>
            </w:r>
          </w:p>
        </w:tc>
      </w:tr>
    </w:tbl>
    <w:p w14:paraId="5F07B9EF" w14:textId="77777777" w:rsidR="007F536F" w:rsidRPr="007F536F" w:rsidRDefault="007F536F" w:rsidP="007F536F">
      <w:pPr>
        <w:widowControl w:val="0"/>
        <w:autoSpaceDE w:val="0"/>
        <w:autoSpaceDN w:val="0"/>
        <w:adjustRightInd w:val="0"/>
        <w:jc w:val="both"/>
        <w:rPr>
          <w:sz w:val="20"/>
          <w:szCs w:val="20"/>
        </w:rPr>
      </w:pPr>
    </w:p>
    <w:p w14:paraId="4674EB21" w14:textId="77777777" w:rsidR="007F536F" w:rsidRPr="007F536F" w:rsidRDefault="007F536F" w:rsidP="007F536F">
      <w:pPr>
        <w:widowControl w:val="0"/>
        <w:autoSpaceDE w:val="0"/>
        <w:autoSpaceDN w:val="0"/>
        <w:adjustRightInd w:val="0"/>
        <w:jc w:val="both"/>
        <w:rPr>
          <w:sz w:val="20"/>
          <w:szCs w:val="20"/>
        </w:rPr>
      </w:pPr>
    </w:p>
    <w:tbl>
      <w:tblPr>
        <w:tblW w:w="9930" w:type="dxa"/>
        <w:tblLayout w:type="fixed"/>
        <w:tblCellMar>
          <w:left w:w="30" w:type="dxa"/>
          <w:right w:w="30" w:type="dxa"/>
        </w:tblCellMar>
        <w:tblLook w:val="0000" w:firstRow="0" w:lastRow="0" w:firstColumn="0" w:lastColumn="0" w:noHBand="0" w:noVBand="0"/>
      </w:tblPr>
      <w:tblGrid>
        <w:gridCol w:w="237"/>
        <w:gridCol w:w="1462"/>
        <w:gridCol w:w="2921"/>
        <w:gridCol w:w="478"/>
        <w:gridCol w:w="1208"/>
        <w:gridCol w:w="1208"/>
        <w:gridCol w:w="1208"/>
        <w:gridCol w:w="1208"/>
      </w:tblGrid>
      <w:tr w:rsidR="007F536F" w:rsidRPr="007F536F" w14:paraId="5C1D05F1" w14:textId="77777777" w:rsidTr="00776F72">
        <w:trPr>
          <w:cantSplit/>
          <w:trHeight w:val="293"/>
        </w:trPr>
        <w:tc>
          <w:tcPr>
            <w:tcW w:w="9930" w:type="dxa"/>
            <w:gridSpan w:val="8"/>
          </w:tcPr>
          <w:p w14:paraId="0E6D1AA5" w14:textId="77777777" w:rsidR="007F536F" w:rsidRPr="007F536F" w:rsidRDefault="007F536F" w:rsidP="007F536F">
            <w:pPr>
              <w:widowControl w:val="0"/>
              <w:autoSpaceDE w:val="0"/>
              <w:autoSpaceDN w:val="0"/>
              <w:adjustRightInd w:val="0"/>
              <w:jc w:val="center"/>
              <w:rPr>
                <w:b/>
                <w:bCs/>
                <w:snapToGrid w:val="0"/>
                <w:sz w:val="20"/>
                <w:szCs w:val="20"/>
              </w:rPr>
            </w:pPr>
          </w:p>
          <w:p w14:paraId="0AA3F4A0" w14:textId="77777777" w:rsidR="007F536F" w:rsidRPr="007F536F" w:rsidRDefault="007F536F" w:rsidP="007F536F">
            <w:pPr>
              <w:widowControl w:val="0"/>
              <w:autoSpaceDE w:val="0"/>
              <w:autoSpaceDN w:val="0"/>
              <w:adjustRightInd w:val="0"/>
              <w:jc w:val="center"/>
              <w:rPr>
                <w:b/>
                <w:bCs/>
                <w:snapToGrid w:val="0"/>
                <w:sz w:val="20"/>
                <w:szCs w:val="20"/>
              </w:rPr>
            </w:pPr>
          </w:p>
          <w:p w14:paraId="4EEC58F1" w14:textId="77777777" w:rsidR="007F536F" w:rsidRPr="007F536F" w:rsidRDefault="007F536F" w:rsidP="007F536F">
            <w:pPr>
              <w:widowControl w:val="0"/>
              <w:autoSpaceDE w:val="0"/>
              <w:autoSpaceDN w:val="0"/>
              <w:adjustRightInd w:val="0"/>
              <w:jc w:val="center"/>
              <w:rPr>
                <w:snapToGrid w:val="0"/>
                <w:sz w:val="20"/>
                <w:szCs w:val="20"/>
              </w:rPr>
            </w:pPr>
            <w:r w:rsidRPr="007F536F">
              <w:rPr>
                <w:b/>
                <w:bCs/>
                <w:snapToGrid w:val="0"/>
                <w:sz w:val="20"/>
                <w:szCs w:val="20"/>
              </w:rPr>
              <w:t>Condensed Consolidated Balance Sheet Information</w:t>
            </w:r>
          </w:p>
        </w:tc>
      </w:tr>
      <w:tr w:rsidR="007F536F" w:rsidRPr="007F536F" w14:paraId="3DAFD77B" w14:textId="77777777" w:rsidTr="00776F72">
        <w:trPr>
          <w:cantSplit/>
          <w:trHeight w:val="293"/>
        </w:trPr>
        <w:tc>
          <w:tcPr>
            <w:tcW w:w="9930" w:type="dxa"/>
            <w:gridSpan w:val="8"/>
          </w:tcPr>
          <w:p w14:paraId="6079DA12" w14:textId="77777777" w:rsidR="007F536F" w:rsidRPr="007F536F" w:rsidRDefault="007F536F" w:rsidP="007F536F">
            <w:pPr>
              <w:widowControl w:val="0"/>
              <w:autoSpaceDE w:val="0"/>
              <w:autoSpaceDN w:val="0"/>
              <w:adjustRightInd w:val="0"/>
              <w:jc w:val="center"/>
              <w:rPr>
                <w:i/>
                <w:snapToGrid w:val="0"/>
                <w:sz w:val="20"/>
                <w:szCs w:val="20"/>
              </w:rPr>
            </w:pPr>
            <w:r w:rsidRPr="007F536F">
              <w:rPr>
                <w:bCs/>
                <w:i/>
                <w:snapToGrid w:val="0"/>
                <w:sz w:val="20"/>
                <w:szCs w:val="20"/>
              </w:rPr>
              <w:t>(amounts in thousands, except common share information)</w:t>
            </w:r>
          </w:p>
        </w:tc>
      </w:tr>
      <w:tr w:rsidR="007F536F" w:rsidRPr="007F536F" w14:paraId="1820E37A" w14:textId="77777777" w:rsidTr="00776F72">
        <w:trPr>
          <w:trHeight w:val="276"/>
        </w:trPr>
        <w:tc>
          <w:tcPr>
            <w:tcW w:w="1699" w:type="dxa"/>
            <w:gridSpan w:val="2"/>
          </w:tcPr>
          <w:p w14:paraId="1DEA5597" w14:textId="77777777" w:rsidR="007F536F" w:rsidRPr="007F536F" w:rsidRDefault="007F536F" w:rsidP="007F536F">
            <w:pPr>
              <w:widowControl w:val="0"/>
              <w:autoSpaceDE w:val="0"/>
              <w:autoSpaceDN w:val="0"/>
              <w:adjustRightInd w:val="0"/>
              <w:rPr>
                <w:snapToGrid w:val="0"/>
                <w:sz w:val="20"/>
                <w:szCs w:val="20"/>
              </w:rPr>
            </w:pPr>
          </w:p>
        </w:tc>
        <w:tc>
          <w:tcPr>
            <w:tcW w:w="2921" w:type="dxa"/>
          </w:tcPr>
          <w:p w14:paraId="41E23568" w14:textId="77777777" w:rsidR="007F536F" w:rsidRPr="007F536F" w:rsidRDefault="007F536F" w:rsidP="007F536F">
            <w:pPr>
              <w:widowControl w:val="0"/>
              <w:autoSpaceDE w:val="0"/>
              <w:autoSpaceDN w:val="0"/>
              <w:adjustRightInd w:val="0"/>
              <w:jc w:val="right"/>
              <w:rPr>
                <w:snapToGrid w:val="0"/>
                <w:sz w:val="20"/>
                <w:szCs w:val="20"/>
              </w:rPr>
            </w:pPr>
          </w:p>
        </w:tc>
        <w:tc>
          <w:tcPr>
            <w:tcW w:w="478" w:type="dxa"/>
          </w:tcPr>
          <w:p w14:paraId="1E27AF6C"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73819780"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4D9DFE76" w14:textId="77777777" w:rsidR="007F536F" w:rsidRPr="007F536F" w:rsidRDefault="007F536F" w:rsidP="007F536F">
            <w:pPr>
              <w:widowControl w:val="0"/>
              <w:autoSpaceDE w:val="0"/>
              <w:autoSpaceDN w:val="0"/>
              <w:adjustRightInd w:val="0"/>
              <w:jc w:val="right"/>
              <w:rPr>
                <w:snapToGrid w:val="0"/>
                <w:sz w:val="20"/>
                <w:szCs w:val="20"/>
              </w:rPr>
            </w:pPr>
          </w:p>
        </w:tc>
        <w:tc>
          <w:tcPr>
            <w:tcW w:w="2416" w:type="dxa"/>
            <w:gridSpan w:val="2"/>
            <w:tcBorders>
              <w:bottom w:val="single" w:sz="4" w:space="0" w:color="auto"/>
            </w:tcBorders>
          </w:tcPr>
          <w:p w14:paraId="4137E389" w14:textId="77777777" w:rsidR="007F536F" w:rsidRPr="007F536F" w:rsidRDefault="007F536F" w:rsidP="007F536F">
            <w:pPr>
              <w:widowControl w:val="0"/>
              <w:autoSpaceDE w:val="0"/>
              <w:autoSpaceDN w:val="0"/>
              <w:adjustRightInd w:val="0"/>
              <w:jc w:val="center"/>
              <w:rPr>
                <w:snapToGrid w:val="0"/>
                <w:sz w:val="20"/>
                <w:szCs w:val="20"/>
              </w:rPr>
            </w:pPr>
            <w:r w:rsidRPr="007F536F">
              <w:rPr>
                <w:snapToGrid w:val="0"/>
                <w:sz w:val="20"/>
                <w:szCs w:val="20"/>
              </w:rPr>
              <w:t>December 31,</w:t>
            </w:r>
          </w:p>
        </w:tc>
      </w:tr>
      <w:tr w:rsidR="007F536F" w:rsidRPr="007F536F" w14:paraId="5050C738" w14:textId="77777777" w:rsidTr="00776F72">
        <w:trPr>
          <w:trHeight w:val="276"/>
        </w:trPr>
        <w:tc>
          <w:tcPr>
            <w:tcW w:w="1699" w:type="dxa"/>
            <w:gridSpan w:val="2"/>
          </w:tcPr>
          <w:p w14:paraId="40C37797" w14:textId="77777777" w:rsidR="007F536F" w:rsidRPr="007F536F" w:rsidRDefault="007F536F" w:rsidP="007F536F">
            <w:pPr>
              <w:widowControl w:val="0"/>
              <w:autoSpaceDE w:val="0"/>
              <w:autoSpaceDN w:val="0"/>
              <w:adjustRightInd w:val="0"/>
              <w:rPr>
                <w:snapToGrid w:val="0"/>
                <w:sz w:val="20"/>
                <w:szCs w:val="20"/>
              </w:rPr>
            </w:pPr>
          </w:p>
        </w:tc>
        <w:tc>
          <w:tcPr>
            <w:tcW w:w="2921" w:type="dxa"/>
          </w:tcPr>
          <w:p w14:paraId="25CFC582" w14:textId="77777777" w:rsidR="007F536F" w:rsidRPr="007F536F" w:rsidRDefault="007F536F" w:rsidP="007F536F">
            <w:pPr>
              <w:widowControl w:val="0"/>
              <w:autoSpaceDE w:val="0"/>
              <w:autoSpaceDN w:val="0"/>
              <w:adjustRightInd w:val="0"/>
              <w:jc w:val="right"/>
              <w:rPr>
                <w:snapToGrid w:val="0"/>
                <w:sz w:val="20"/>
                <w:szCs w:val="20"/>
              </w:rPr>
            </w:pPr>
          </w:p>
        </w:tc>
        <w:tc>
          <w:tcPr>
            <w:tcW w:w="478" w:type="dxa"/>
          </w:tcPr>
          <w:p w14:paraId="2ED8C40D"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4CE5E690"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2ACAF2DD"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Borders>
              <w:bottom w:val="single" w:sz="4" w:space="0" w:color="auto"/>
            </w:tcBorders>
          </w:tcPr>
          <w:p w14:paraId="46D3C5E0" w14:textId="77777777" w:rsidR="007F536F" w:rsidRPr="007F536F" w:rsidRDefault="007F536F" w:rsidP="007F536F">
            <w:pPr>
              <w:widowControl w:val="0"/>
              <w:autoSpaceDE w:val="0"/>
              <w:autoSpaceDN w:val="0"/>
              <w:adjustRightInd w:val="0"/>
              <w:jc w:val="center"/>
              <w:rPr>
                <w:snapToGrid w:val="0"/>
                <w:sz w:val="20"/>
                <w:szCs w:val="20"/>
              </w:rPr>
            </w:pPr>
            <w:r w:rsidRPr="007F536F">
              <w:rPr>
                <w:snapToGrid w:val="0"/>
                <w:sz w:val="20"/>
                <w:szCs w:val="20"/>
              </w:rPr>
              <w:t>2024</w:t>
            </w:r>
          </w:p>
        </w:tc>
        <w:tc>
          <w:tcPr>
            <w:tcW w:w="1208" w:type="dxa"/>
            <w:tcBorders>
              <w:bottom w:val="single" w:sz="4" w:space="0" w:color="auto"/>
            </w:tcBorders>
          </w:tcPr>
          <w:p w14:paraId="455B080D" w14:textId="77777777" w:rsidR="007F536F" w:rsidRPr="007F536F" w:rsidRDefault="007F536F" w:rsidP="007F536F">
            <w:pPr>
              <w:widowControl w:val="0"/>
              <w:autoSpaceDE w:val="0"/>
              <w:autoSpaceDN w:val="0"/>
              <w:adjustRightInd w:val="0"/>
              <w:jc w:val="center"/>
              <w:rPr>
                <w:snapToGrid w:val="0"/>
                <w:sz w:val="20"/>
                <w:szCs w:val="20"/>
              </w:rPr>
            </w:pPr>
            <w:r w:rsidRPr="007F536F">
              <w:rPr>
                <w:snapToGrid w:val="0"/>
                <w:sz w:val="20"/>
                <w:szCs w:val="20"/>
              </w:rPr>
              <w:t>2023</w:t>
            </w:r>
          </w:p>
        </w:tc>
      </w:tr>
      <w:tr w:rsidR="007F536F" w:rsidRPr="007F536F" w14:paraId="5FD7C089" w14:textId="77777777" w:rsidTr="00776F72">
        <w:trPr>
          <w:trHeight w:val="276"/>
        </w:trPr>
        <w:tc>
          <w:tcPr>
            <w:tcW w:w="1699" w:type="dxa"/>
            <w:gridSpan w:val="2"/>
          </w:tcPr>
          <w:p w14:paraId="45F789C8" w14:textId="77777777" w:rsidR="007F536F" w:rsidRPr="007F536F" w:rsidRDefault="007F536F" w:rsidP="007F536F">
            <w:pPr>
              <w:widowControl w:val="0"/>
              <w:autoSpaceDE w:val="0"/>
              <w:autoSpaceDN w:val="0"/>
              <w:adjustRightInd w:val="0"/>
              <w:rPr>
                <w:snapToGrid w:val="0"/>
                <w:sz w:val="20"/>
                <w:szCs w:val="20"/>
              </w:rPr>
            </w:pPr>
            <w:r w:rsidRPr="007F536F">
              <w:rPr>
                <w:snapToGrid w:val="0"/>
                <w:sz w:val="20"/>
                <w:szCs w:val="20"/>
              </w:rPr>
              <w:t>Assets:</w:t>
            </w:r>
          </w:p>
        </w:tc>
        <w:tc>
          <w:tcPr>
            <w:tcW w:w="2921" w:type="dxa"/>
          </w:tcPr>
          <w:p w14:paraId="446DA0B6" w14:textId="77777777" w:rsidR="007F536F" w:rsidRPr="007F536F" w:rsidRDefault="007F536F" w:rsidP="007F536F">
            <w:pPr>
              <w:widowControl w:val="0"/>
              <w:autoSpaceDE w:val="0"/>
              <w:autoSpaceDN w:val="0"/>
              <w:adjustRightInd w:val="0"/>
              <w:jc w:val="right"/>
              <w:rPr>
                <w:snapToGrid w:val="0"/>
                <w:sz w:val="20"/>
                <w:szCs w:val="20"/>
              </w:rPr>
            </w:pPr>
          </w:p>
        </w:tc>
        <w:tc>
          <w:tcPr>
            <w:tcW w:w="478" w:type="dxa"/>
          </w:tcPr>
          <w:p w14:paraId="3CBB44E7"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774F2323"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3203F206"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5C6890D7"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Borders>
              <w:top w:val="single" w:sz="4" w:space="0" w:color="auto"/>
            </w:tcBorders>
          </w:tcPr>
          <w:p w14:paraId="32897EF1" w14:textId="77777777" w:rsidR="007F536F" w:rsidRPr="007F536F" w:rsidRDefault="007F536F" w:rsidP="007F536F">
            <w:pPr>
              <w:widowControl w:val="0"/>
              <w:autoSpaceDE w:val="0"/>
              <w:autoSpaceDN w:val="0"/>
              <w:adjustRightInd w:val="0"/>
              <w:jc w:val="right"/>
              <w:rPr>
                <w:snapToGrid w:val="0"/>
                <w:sz w:val="20"/>
                <w:szCs w:val="20"/>
              </w:rPr>
            </w:pPr>
          </w:p>
        </w:tc>
      </w:tr>
      <w:tr w:rsidR="007F536F" w:rsidRPr="007F536F" w14:paraId="79A7E2D0" w14:textId="77777777" w:rsidTr="00776F72">
        <w:trPr>
          <w:trHeight w:val="276"/>
        </w:trPr>
        <w:tc>
          <w:tcPr>
            <w:tcW w:w="237" w:type="dxa"/>
          </w:tcPr>
          <w:p w14:paraId="73023191" w14:textId="77777777" w:rsidR="007F536F" w:rsidRPr="007F536F" w:rsidRDefault="007F536F" w:rsidP="007F536F">
            <w:pPr>
              <w:widowControl w:val="0"/>
              <w:autoSpaceDE w:val="0"/>
              <w:autoSpaceDN w:val="0"/>
              <w:adjustRightInd w:val="0"/>
              <w:jc w:val="right"/>
              <w:rPr>
                <w:snapToGrid w:val="0"/>
                <w:sz w:val="20"/>
                <w:szCs w:val="20"/>
              </w:rPr>
            </w:pPr>
          </w:p>
        </w:tc>
        <w:tc>
          <w:tcPr>
            <w:tcW w:w="4383" w:type="dxa"/>
            <w:gridSpan w:val="2"/>
          </w:tcPr>
          <w:p w14:paraId="363473CC" w14:textId="77777777" w:rsidR="007F536F" w:rsidRPr="007F536F" w:rsidRDefault="007F536F" w:rsidP="007F536F">
            <w:pPr>
              <w:widowControl w:val="0"/>
              <w:autoSpaceDE w:val="0"/>
              <w:autoSpaceDN w:val="0"/>
              <w:adjustRightInd w:val="0"/>
              <w:rPr>
                <w:snapToGrid w:val="0"/>
                <w:sz w:val="20"/>
                <w:szCs w:val="20"/>
              </w:rPr>
            </w:pPr>
            <w:r w:rsidRPr="007F536F">
              <w:rPr>
                <w:snapToGrid w:val="0"/>
                <w:sz w:val="20"/>
                <w:szCs w:val="20"/>
              </w:rPr>
              <w:t>Cash and cash equivalents</w:t>
            </w:r>
          </w:p>
        </w:tc>
        <w:tc>
          <w:tcPr>
            <w:tcW w:w="478" w:type="dxa"/>
          </w:tcPr>
          <w:p w14:paraId="154B3726"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018F5EB6" w14:textId="77777777" w:rsidR="007F536F" w:rsidRPr="007F536F" w:rsidRDefault="007F536F" w:rsidP="007F536F">
            <w:pPr>
              <w:widowControl w:val="0"/>
              <w:tabs>
                <w:tab w:val="left" w:pos="150"/>
                <w:tab w:val="decimal" w:pos="960"/>
              </w:tabs>
              <w:autoSpaceDE w:val="0"/>
              <w:autoSpaceDN w:val="0"/>
              <w:adjustRightInd w:val="0"/>
              <w:rPr>
                <w:snapToGrid w:val="0"/>
                <w:sz w:val="20"/>
                <w:szCs w:val="20"/>
              </w:rPr>
            </w:pPr>
          </w:p>
        </w:tc>
        <w:tc>
          <w:tcPr>
            <w:tcW w:w="1208" w:type="dxa"/>
          </w:tcPr>
          <w:p w14:paraId="74311E8B" w14:textId="77777777" w:rsidR="007F536F" w:rsidRPr="007F536F" w:rsidRDefault="007F536F" w:rsidP="007F536F">
            <w:pPr>
              <w:widowControl w:val="0"/>
              <w:tabs>
                <w:tab w:val="left" w:pos="180"/>
                <w:tab w:val="decimal" w:pos="910"/>
              </w:tabs>
              <w:autoSpaceDE w:val="0"/>
              <w:autoSpaceDN w:val="0"/>
              <w:adjustRightInd w:val="0"/>
              <w:rPr>
                <w:snapToGrid w:val="0"/>
                <w:sz w:val="20"/>
                <w:szCs w:val="20"/>
              </w:rPr>
            </w:pPr>
          </w:p>
        </w:tc>
        <w:tc>
          <w:tcPr>
            <w:tcW w:w="1208" w:type="dxa"/>
          </w:tcPr>
          <w:p w14:paraId="1B6D9DB4" w14:textId="77777777" w:rsidR="007F536F" w:rsidRPr="007F536F" w:rsidRDefault="007F536F" w:rsidP="007F536F">
            <w:pPr>
              <w:widowControl w:val="0"/>
              <w:tabs>
                <w:tab w:val="left" w:pos="165"/>
                <w:tab w:val="decimal" w:pos="960"/>
              </w:tabs>
              <w:autoSpaceDE w:val="0"/>
              <w:autoSpaceDN w:val="0"/>
              <w:adjustRightInd w:val="0"/>
              <w:jc w:val="right"/>
              <w:rPr>
                <w:snapToGrid w:val="0"/>
                <w:sz w:val="20"/>
                <w:szCs w:val="20"/>
              </w:rPr>
            </w:pPr>
            <w:r w:rsidRPr="007F536F">
              <w:rPr>
                <w:snapToGrid w:val="0"/>
                <w:sz w:val="20"/>
                <w:szCs w:val="20"/>
              </w:rPr>
              <w:t>$</w:t>
            </w:r>
            <w:r w:rsidRPr="007F536F">
              <w:rPr>
                <w:snapToGrid w:val="0"/>
                <w:sz w:val="20"/>
                <w:szCs w:val="20"/>
              </w:rPr>
              <w:tab/>
            </w:r>
            <w:r w:rsidRPr="007F536F">
              <w:rPr>
                <w:snapToGrid w:val="0"/>
                <w:sz w:val="20"/>
                <w:szCs w:val="20"/>
              </w:rPr>
              <w:tab/>
              <w:t>5,507</w:t>
            </w:r>
          </w:p>
        </w:tc>
        <w:tc>
          <w:tcPr>
            <w:tcW w:w="1208" w:type="dxa"/>
          </w:tcPr>
          <w:p w14:paraId="5747D449" w14:textId="77777777" w:rsidR="007F536F" w:rsidRPr="007F536F" w:rsidRDefault="007F536F" w:rsidP="007F536F">
            <w:pPr>
              <w:widowControl w:val="0"/>
              <w:tabs>
                <w:tab w:val="left" w:pos="150"/>
                <w:tab w:val="decimal" w:pos="1005"/>
              </w:tabs>
              <w:autoSpaceDE w:val="0"/>
              <w:autoSpaceDN w:val="0"/>
              <w:adjustRightInd w:val="0"/>
              <w:jc w:val="right"/>
              <w:rPr>
                <w:snapToGrid w:val="0"/>
                <w:sz w:val="20"/>
                <w:szCs w:val="20"/>
              </w:rPr>
            </w:pPr>
            <w:r w:rsidRPr="007F536F">
              <w:rPr>
                <w:snapToGrid w:val="0"/>
                <w:sz w:val="20"/>
                <w:szCs w:val="20"/>
              </w:rPr>
              <w:t>$</w:t>
            </w:r>
            <w:r w:rsidRPr="007F536F">
              <w:rPr>
                <w:snapToGrid w:val="0"/>
                <w:sz w:val="20"/>
                <w:szCs w:val="20"/>
              </w:rPr>
              <w:tab/>
            </w:r>
            <w:r w:rsidRPr="007F536F">
              <w:rPr>
                <w:snapToGrid w:val="0"/>
                <w:sz w:val="20"/>
                <w:szCs w:val="20"/>
              </w:rPr>
              <w:tab/>
              <w:t>6,453</w:t>
            </w:r>
          </w:p>
        </w:tc>
      </w:tr>
      <w:tr w:rsidR="007F536F" w:rsidRPr="007F536F" w14:paraId="5ED2FB3E" w14:textId="77777777" w:rsidTr="00776F72">
        <w:trPr>
          <w:trHeight w:val="276"/>
        </w:trPr>
        <w:tc>
          <w:tcPr>
            <w:tcW w:w="237" w:type="dxa"/>
          </w:tcPr>
          <w:p w14:paraId="38B52DCA" w14:textId="77777777" w:rsidR="007F536F" w:rsidRPr="007F536F" w:rsidRDefault="007F536F" w:rsidP="007F536F">
            <w:pPr>
              <w:widowControl w:val="0"/>
              <w:autoSpaceDE w:val="0"/>
              <w:autoSpaceDN w:val="0"/>
              <w:adjustRightInd w:val="0"/>
              <w:jc w:val="right"/>
              <w:rPr>
                <w:snapToGrid w:val="0"/>
                <w:sz w:val="20"/>
                <w:szCs w:val="20"/>
              </w:rPr>
            </w:pPr>
          </w:p>
        </w:tc>
        <w:tc>
          <w:tcPr>
            <w:tcW w:w="4383" w:type="dxa"/>
            <w:gridSpan w:val="2"/>
          </w:tcPr>
          <w:p w14:paraId="19AA6B56" w14:textId="77777777" w:rsidR="007F536F" w:rsidRPr="007F536F" w:rsidRDefault="007F536F" w:rsidP="007F536F">
            <w:pPr>
              <w:widowControl w:val="0"/>
              <w:autoSpaceDE w:val="0"/>
              <w:autoSpaceDN w:val="0"/>
              <w:adjustRightInd w:val="0"/>
              <w:rPr>
                <w:snapToGrid w:val="0"/>
                <w:sz w:val="20"/>
                <w:szCs w:val="20"/>
              </w:rPr>
            </w:pPr>
            <w:r w:rsidRPr="007F536F">
              <w:rPr>
                <w:snapToGrid w:val="0"/>
                <w:sz w:val="20"/>
                <w:szCs w:val="20"/>
              </w:rPr>
              <w:t>Other current assets</w:t>
            </w:r>
          </w:p>
        </w:tc>
        <w:tc>
          <w:tcPr>
            <w:tcW w:w="478" w:type="dxa"/>
          </w:tcPr>
          <w:p w14:paraId="39E48AA0"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0FA6E170" w14:textId="77777777" w:rsidR="007F536F" w:rsidRPr="007F536F" w:rsidRDefault="007F536F" w:rsidP="007F536F">
            <w:pPr>
              <w:widowControl w:val="0"/>
              <w:autoSpaceDE w:val="0"/>
              <w:autoSpaceDN w:val="0"/>
              <w:adjustRightInd w:val="0"/>
              <w:rPr>
                <w:snapToGrid w:val="0"/>
                <w:sz w:val="20"/>
                <w:szCs w:val="20"/>
              </w:rPr>
            </w:pPr>
          </w:p>
        </w:tc>
        <w:tc>
          <w:tcPr>
            <w:tcW w:w="1208" w:type="dxa"/>
          </w:tcPr>
          <w:p w14:paraId="102339D7" w14:textId="77777777" w:rsidR="007F536F" w:rsidRPr="007F536F" w:rsidRDefault="007F536F" w:rsidP="007F536F">
            <w:pPr>
              <w:widowControl w:val="0"/>
              <w:autoSpaceDE w:val="0"/>
              <w:autoSpaceDN w:val="0"/>
              <w:adjustRightInd w:val="0"/>
              <w:rPr>
                <w:snapToGrid w:val="0"/>
                <w:sz w:val="20"/>
                <w:szCs w:val="20"/>
              </w:rPr>
            </w:pPr>
          </w:p>
        </w:tc>
        <w:tc>
          <w:tcPr>
            <w:tcW w:w="1208" w:type="dxa"/>
            <w:tcBorders>
              <w:bottom w:val="single" w:sz="4" w:space="0" w:color="auto"/>
            </w:tcBorders>
          </w:tcPr>
          <w:p w14:paraId="326EB0C4" w14:textId="77777777" w:rsidR="007F536F" w:rsidRPr="007F536F" w:rsidRDefault="007F536F" w:rsidP="007F536F">
            <w:pPr>
              <w:widowControl w:val="0"/>
              <w:tabs>
                <w:tab w:val="decimal" w:pos="960"/>
              </w:tabs>
              <w:autoSpaceDE w:val="0"/>
              <w:autoSpaceDN w:val="0"/>
              <w:adjustRightInd w:val="0"/>
              <w:jc w:val="right"/>
              <w:rPr>
                <w:snapToGrid w:val="0"/>
                <w:sz w:val="20"/>
                <w:szCs w:val="20"/>
              </w:rPr>
            </w:pPr>
            <w:r w:rsidRPr="007F536F">
              <w:rPr>
                <w:snapToGrid w:val="0"/>
                <w:sz w:val="20"/>
                <w:szCs w:val="20"/>
              </w:rPr>
              <w:t>2,428</w:t>
            </w:r>
          </w:p>
        </w:tc>
        <w:tc>
          <w:tcPr>
            <w:tcW w:w="1208" w:type="dxa"/>
            <w:tcBorders>
              <w:bottom w:val="single" w:sz="4" w:space="0" w:color="auto"/>
            </w:tcBorders>
          </w:tcPr>
          <w:p w14:paraId="5B8029DD" w14:textId="77777777" w:rsidR="007F536F" w:rsidRPr="007F536F" w:rsidRDefault="007F536F" w:rsidP="007F536F">
            <w:pPr>
              <w:widowControl w:val="0"/>
              <w:tabs>
                <w:tab w:val="decimal" w:pos="1005"/>
              </w:tabs>
              <w:autoSpaceDE w:val="0"/>
              <w:autoSpaceDN w:val="0"/>
              <w:adjustRightInd w:val="0"/>
              <w:jc w:val="right"/>
              <w:rPr>
                <w:snapToGrid w:val="0"/>
                <w:sz w:val="20"/>
                <w:szCs w:val="20"/>
              </w:rPr>
            </w:pPr>
            <w:r w:rsidRPr="007F536F">
              <w:rPr>
                <w:snapToGrid w:val="0"/>
                <w:sz w:val="20"/>
                <w:szCs w:val="20"/>
              </w:rPr>
              <w:t>1,433</w:t>
            </w:r>
          </w:p>
        </w:tc>
      </w:tr>
      <w:tr w:rsidR="007F536F" w:rsidRPr="007F536F" w14:paraId="7D3BB046" w14:textId="77777777" w:rsidTr="00776F72">
        <w:trPr>
          <w:trHeight w:val="276"/>
        </w:trPr>
        <w:tc>
          <w:tcPr>
            <w:tcW w:w="237" w:type="dxa"/>
          </w:tcPr>
          <w:p w14:paraId="5EFD724E" w14:textId="77777777" w:rsidR="007F536F" w:rsidRPr="007F536F" w:rsidRDefault="007F536F" w:rsidP="007F536F">
            <w:pPr>
              <w:widowControl w:val="0"/>
              <w:autoSpaceDE w:val="0"/>
              <w:autoSpaceDN w:val="0"/>
              <w:adjustRightInd w:val="0"/>
              <w:jc w:val="right"/>
              <w:rPr>
                <w:snapToGrid w:val="0"/>
                <w:sz w:val="20"/>
                <w:szCs w:val="20"/>
              </w:rPr>
            </w:pPr>
          </w:p>
        </w:tc>
        <w:tc>
          <w:tcPr>
            <w:tcW w:w="4383" w:type="dxa"/>
            <w:gridSpan w:val="2"/>
          </w:tcPr>
          <w:p w14:paraId="3C17130C" w14:textId="77777777" w:rsidR="007F536F" w:rsidRPr="007F536F" w:rsidRDefault="007F536F" w:rsidP="007F536F">
            <w:pPr>
              <w:widowControl w:val="0"/>
              <w:autoSpaceDE w:val="0"/>
              <w:autoSpaceDN w:val="0"/>
              <w:adjustRightInd w:val="0"/>
              <w:rPr>
                <w:snapToGrid w:val="0"/>
                <w:sz w:val="20"/>
                <w:szCs w:val="20"/>
              </w:rPr>
            </w:pPr>
            <w:r w:rsidRPr="007F536F">
              <w:rPr>
                <w:snapToGrid w:val="0"/>
                <w:sz w:val="20"/>
                <w:szCs w:val="20"/>
              </w:rPr>
              <w:t>Total current assets</w:t>
            </w:r>
          </w:p>
        </w:tc>
        <w:tc>
          <w:tcPr>
            <w:tcW w:w="478" w:type="dxa"/>
          </w:tcPr>
          <w:p w14:paraId="5C427EBC"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7E04E828"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1D4B3C05"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Borders>
              <w:top w:val="single" w:sz="4" w:space="0" w:color="auto"/>
            </w:tcBorders>
          </w:tcPr>
          <w:p w14:paraId="6A4A5E76" w14:textId="77777777" w:rsidR="007F536F" w:rsidRPr="007F536F" w:rsidRDefault="007F536F" w:rsidP="007F536F">
            <w:pPr>
              <w:widowControl w:val="0"/>
              <w:tabs>
                <w:tab w:val="left" w:pos="150"/>
                <w:tab w:val="decimal" w:pos="960"/>
              </w:tabs>
              <w:autoSpaceDE w:val="0"/>
              <w:autoSpaceDN w:val="0"/>
              <w:adjustRightInd w:val="0"/>
              <w:jc w:val="right"/>
              <w:rPr>
                <w:snapToGrid w:val="0"/>
                <w:sz w:val="20"/>
                <w:szCs w:val="20"/>
              </w:rPr>
            </w:pPr>
            <w:r w:rsidRPr="007F536F">
              <w:rPr>
                <w:snapToGrid w:val="0"/>
                <w:sz w:val="20"/>
                <w:szCs w:val="20"/>
              </w:rPr>
              <w:tab/>
            </w:r>
            <w:r w:rsidRPr="007F536F">
              <w:rPr>
                <w:snapToGrid w:val="0"/>
                <w:sz w:val="20"/>
                <w:szCs w:val="20"/>
              </w:rPr>
              <w:tab/>
              <w:t>7,935</w:t>
            </w:r>
          </w:p>
        </w:tc>
        <w:tc>
          <w:tcPr>
            <w:tcW w:w="1208" w:type="dxa"/>
            <w:tcBorders>
              <w:top w:val="single" w:sz="4" w:space="0" w:color="auto"/>
            </w:tcBorders>
          </w:tcPr>
          <w:p w14:paraId="4216BC1E" w14:textId="77777777" w:rsidR="007F536F" w:rsidRPr="007F536F" w:rsidRDefault="007F536F" w:rsidP="007F536F">
            <w:pPr>
              <w:widowControl w:val="0"/>
              <w:tabs>
                <w:tab w:val="left" w:pos="195"/>
                <w:tab w:val="decimal" w:pos="1005"/>
              </w:tabs>
              <w:autoSpaceDE w:val="0"/>
              <w:autoSpaceDN w:val="0"/>
              <w:adjustRightInd w:val="0"/>
              <w:jc w:val="right"/>
              <w:rPr>
                <w:snapToGrid w:val="0"/>
                <w:sz w:val="20"/>
                <w:szCs w:val="20"/>
              </w:rPr>
            </w:pPr>
            <w:r w:rsidRPr="007F536F">
              <w:rPr>
                <w:snapToGrid w:val="0"/>
                <w:sz w:val="20"/>
                <w:szCs w:val="20"/>
              </w:rPr>
              <w:tab/>
            </w:r>
            <w:r w:rsidRPr="007F536F">
              <w:rPr>
                <w:snapToGrid w:val="0"/>
                <w:sz w:val="20"/>
                <w:szCs w:val="20"/>
              </w:rPr>
              <w:tab/>
              <w:t>7,886</w:t>
            </w:r>
          </w:p>
        </w:tc>
      </w:tr>
      <w:tr w:rsidR="007F536F" w:rsidRPr="007F536F" w14:paraId="3BC2D547" w14:textId="77777777" w:rsidTr="00776F72">
        <w:trPr>
          <w:trHeight w:val="276"/>
        </w:trPr>
        <w:tc>
          <w:tcPr>
            <w:tcW w:w="237" w:type="dxa"/>
          </w:tcPr>
          <w:p w14:paraId="75E6646A" w14:textId="77777777" w:rsidR="007F536F" w:rsidRPr="007F536F" w:rsidRDefault="007F536F" w:rsidP="007F536F">
            <w:pPr>
              <w:widowControl w:val="0"/>
              <w:autoSpaceDE w:val="0"/>
              <w:autoSpaceDN w:val="0"/>
              <w:adjustRightInd w:val="0"/>
              <w:jc w:val="right"/>
              <w:rPr>
                <w:snapToGrid w:val="0"/>
                <w:sz w:val="20"/>
                <w:szCs w:val="20"/>
              </w:rPr>
            </w:pPr>
          </w:p>
        </w:tc>
        <w:tc>
          <w:tcPr>
            <w:tcW w:w="4383" w:type="dxa"/>
            <w:gridSpan w:val="2"/>
          </w:tcPr>
          <w:p w14:paraId="22A7216F" w14:textId="77777777" w:rsidR="007F536F" w:rsidRPr="007F536F" w:rsidRDefault="007F536F" w:rsidP="007F536F">
            <w:pPr>
              <w:widowControl w:val="0"/>
              <w:autoSpaceDE w:val="0"/>
              <w:autoSpaceDN w:val="0"/>
              <w:adjustRightInd w:val="0"/>
              <w:rPr>
                <w:snapToGrid w:val="0"/>
                <w:sz w:val="20"/>
                <w:szCs w:val="20"/>
              </w:rPr>
            </w:pPr>
            <w:r w:rsidRPr="007F536F">
              <w:rPr>
                <w:snapToGrid w:val="0"/>
                <w:sz w:val="20"/>
                <w:szCs w:val="20"/>
              </w:rPr>
              <w:t>Property and other assets</w:t>
            </w:r>
          </w:p>
        </w:tc>
        <w:tc>
          <w:tcPr>
            <w:tcW w:w="478" w:type="dxa"/>
          </w:tcPr>
          <w:p w14:paraId="00BA5A99"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083246B3"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0BCEED77"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Borders>
              <w:bottom w:val="single" w:sz="4" w:space="0" w:color="auto"/>
            </w:tcBorders>
          </w:tcPr>
          <w:p w14:paraId="1C78A232" w14:textId="77777777" w:rsidR="007F536F" w:rsidRPr="007F536F" w:rsidRDefault="007F536F" w:rsidP="007F536F">
            <w:pPr>
              <w:widowControl w:val="0"/>
              <w:tabs>
                <w:tab w:val="left" w:pos="150"/>
                <w:tab w:val="decimal" w:pos="960"/>
              </w:tabs>
              <w:autoSpaceDE w:val="0"/>
              <w:autoSpaceDN w:val="0"/>
              <w:adjustRightInd w:val="0"/>
              <w:jc w:val="right"/>
              <w:rPr>
                <w:snapToGrid w:val="0"/>
                <w:sz w:val="20"/>
                <w:szCs w:val="20"/>
              </w:rPr>
            </w:pPr>
            <w:r w:rsidRPr="007F536F">
              <w:rPr>
                <w:snapToGrid w:val="0"/>
                <w:sz w:val="20"/>
                <w:szCs w:val="20"/>
              </w:rPr>
              <w:t>221</w:t>
            </w:r>
          </w:p>
        </w:tc>
        <w:tc>
          <w:tcPr>
            <w:tcW w:w="1208" w:type="dxa"/>
            <w:tcBorders>
              <w:bottom w:val="single" w:sz="4" w:space="0" w:color="auto"/>
            </w:tcBorders>
          </w:tcPr>
          <w:p w14:paraId="5AF31D95" w14:textId="77777777" w:rsidR="007F536F" w:rsidRPr="007F536F" w:rsidRDefault="007F536F" w:rsidP="007F536F">
            <w:pPr>
              <w:widowControl w:val="0"/>
              <w:tabs>
                <w:tab w:val="left" w:pos="195"/>
                <w:tab w:val="decimal" w:pos="1005"/>
              </w:tabs>
              <w:autoSpaceDE w:val="0"/>
              <w:autoSpaceDN w:val="0"/>
              <w:adjustRightInd w:val="0"/>
              <w:jc w:val="right"/>
              <w:rPr>
                <w:snapToGrid w:val="0"/>
                <w:sz w:val="20"/>
                <w:szCs w:val="20"/>
              </w:rPr>
            </w:pPr>
            <w:r w:rsidRPr="007F536F">
              <w:rPr>
                <w:snapToGrid w:val="0"/>
                <w:sz w:val="20"/>
                <w:szCs w:val="20"/>
              </w:rPr>
              <w:t>1,397</w:t>
            </w:r>
          </w:p>
        </w:tc>
      </w:tr>
      <w:tr w:rsidR="007F536F" w:rsidRPr="007F536F" w14:paraId="0B5A5928" w14:textId="77777777" w:rsidTr="00776F72">
        <w:trPr>
          <w:trHeight w:val="276"/>
        </w:trPr>
        <w:tc>
          <w:tcPr>
            <w:tcW w:w="237" w:type="dxa"/>
          </w:tcPr>
          <w:p w14:paraId="3C7CD56B" w14:textId="77777777" w:rsidR="007F536F" w:rsidRPr="007F536F" w:rsidRDefault="007F536F" w:rsidP="007F536F">
            <w:pPr>
              <w:widowControl w:val="0"/>
              <w:autoSpaceDE w:val="0"/>
              <w:autoSpaceDN w:val="0"/>
              <w:adjustRightInd w:val="0"/>
              <w:jc w:val="right"/>
              <w:rPr>
                <w:snapToGrid w:val="0"/>
                <w:sz w:val="20"/>
                <w:szCs w:val="20"/>
              </w:rPr>
            </w:pPr>
          </w:p>
        </w:tc>
        <w:tc>
          <w:tcPr>
            <w:tcW w:w="4383" w:type="dxa"/>
            <w:gridSpan w:val="2"/>
          </w:tcPr>
          <w:p w14:paraId="1C142E6F" w14:textId="77777777" w:rsidR="007F536F" w:rsidRPr="007F536F" w:rsidRDefault="007F536F" w:rsidP="007F536F">
            <w:pPr>
              <w:widowControl w:val="0"/>
              <w:autoSpaceDE w:val="0"/>
              <w:autoSpaceDN w:val="0"/>
              <w:adjustRightInd w:val="0"/>
              <w:rPr>
                <w:snapToGrid w:val="0"/>
                <w:sz w:val="20"/>
                <w:szCs w:val="20"/>
              </w:rPr>
            </w:pPr>
            <w:r w:rsidRPr="007F536F">
              <w:rPr>
                <w:snapToGrid w:val="0"/>
                <w:sz w:val="20"/>
                <w:szCs w:val="20"/>
              </w:rPr>
              <w:t>Total assets</w:t>
            </w:r>
          </w:p>
        </w:tc>
        <w:tc>
          <w:tcPr>
            <w:tcW w:w="478" w:type="dxa"/>
          </w:tcPr>
          <w:p w14:paraId="4D461384"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14679BD4"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65D1C491"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Borders>
              <w:top w:val="single" w:sz="4" w:space="0" w:color="auto"/>
              <w:bottom w:val="double" w:sz="4" w:space="0" w:color="auto"/>
            </w:tcBorders>
          </w:tcPr>
          <w:p w14:paraId="3B6EE37D" w14:textId="77777777" w:rsidR="007F536F" w:rsidRPr="007F536F" w:rsidRDefault="007F536F" w:rsidP="007F536F">
            <w:pPr>
              <w:widowControl w:val="0"/>
              <w:tabs>
                <w:tab w:val="left" w:pos="150"/>
                <w:tab w:val="decimal" w:pos="960"/>
              </w:tabs>
              <w:autoSpaceDE w:val="0"/>
              <w:autoSpaceDN w:val="0"/>
              <w:adjustRightInd w:val="0"/>
              <w:jc w:val="right"/>
              <w:rPr>
                <w:snapToGrid w:val="0"/>
                <w:sz w:val="20"/>
                <w:szCs w:val="20"/>
              </w:rPr>
            </w:pPr>
            <w:r w:rsidRPr="007F536F">
              <w:rPr>
                <w:snapToGrid w:val="0"/>
                <w:sz w:val="20"/>
                <w:szCs w:val="20"/>
              </w:rPr>
              <w:t>$       8,156</w:t>
            </w:r>
          </w:p>
        </w:tc>
        <w:tc>
          <w:tcPr>
            <w:tcW w:w="1208" w:type="dxa"/>
            <w:tcBorders>
              <w:top w:val="single" w:sz="4" w:space="0" w:color="auto"/>
              <w:bottom w:val="double" w:sz="4" w:space="0" w:color="auto"/>
            </w:tcBorders>
          </w:tcPr>
          <w:p w14:paraId="281A1312" w14:textId="77777777" w:rsidR="007F536F" w:rsidRPr="007F536F" w:rsidRDefault="007F536F" w:rsidP="007F536F">
            <w:pPr>
              <w:widowControl w:val="0"/>
              <w:tabs>
                <w:tab w:val="left" w:pos="195"/>
                <w:tab w:val="decimal" w:pos="1005"/>
              </w:tabs>
              <w:autoSpaceDE w:val="0"/>
              <w:autoSpaceDN w:val="0"/>
              <w:adjustRightInd w:val="0"/>
              <w:jc w:val="right"/>
              <w:rPr>
                <w:snapToGrid w:val="0"/>
                <w:sz w:val="20"/>
                <w:szCs w:val="20"/>
              </w:rPr>
            </w:pPr>
            <w:r w:rsidRPr="007F536F">
              <w:rPr>
                <w:snapToGrid w:val="0"/>
                <w:sz w:val="20"/>
                <w:szCs w:val="20"/>
              </w:rPr>
              <w:t>$       9,283</w:t>
            </w:r>
          </w:p>
        </w:tc>
      </w:tr>
      <w:tr w:rsidR="007F536F" w:rsidRPr="007F536F" w14:paraId="7E33B4A4" w14:textId="77777777" w:rsidTr="00776F72">
        <w:trPr>
          <w:trHeight w:val="276"/>
        </w:trPr>
        <w:tc>
          <w:tcPr>
            <w:tcW w:w="237" w:type="dxa"/>
          </w:tcPr>
          <w:p w14:paraId="241B0F2D" w14:textId="77777777" w:rsidR="007F536F" w:rsidRPr="007F536F" w:rsidRDefault="007F536F" w:rsidP="007F536F">
            <w:pPr>
              <w:widowControl w:val="0"/>
              <w:autoSpaceDE w:val="0"/>
              <w:autoSpaceDN w:val="0"/>
              <w:adjustRightInd w:val="0"/>
              <w:jc w:val="right"/>
              <w:rPr>
                <w:snapToGrid w:val="0"/>
                <w:sz w:val="20"/>
                <w:szCs w:val="20"/>
              </w:rPr>
            </w:pPr>
          </w:p>
        </w:tc>
        <w:tc>
          <w:tcPr>
            <w:tcW w:w="1462" w:type="dxa"/>
          </w:tcPr>
          <w:p w14:paraId="3D21FB4D" w14:textId="77777777" w:rsidR="007F536F" w:rsidRPr="007F536F" w:rsidRDefault="007F536F" w:rsidP="007F536F">
            <w:pPr>
              <w:widowControl w:val="0"/>
              <w:autoSpaceDE w:val="0"/>
              <w:autoSpaceDN w:val="0"/>
              <w:adjustRightInd w:val="0"/>
              <w:jc w:val="right"/>
              <w:rPr>
                <w:snapToGrid w:val="0"/>
                <w:sz w:val="20"/>
                <w:szCs w:val="20"/>
              </w:rPr>
            </w:pPr>
          </w:p>
        </w:tc>
        <w:tc>
          <w:tcPr>
            <w:tcW w:w="2921" w:type="dxa"/>
          </w:tcPr>
          <w:p w14:paraId="5BB29D86" w14:textId="77777777" w:rsidR="007F536F" w:rsidRPr="007F536F" w:rsidRDefault="007F536F" w:rsidP="007F536F">
            <w:pPr>
              <w:widowControl w:val="0"/>
              <w:autoSpaceDE w:val="0"/>
              <w:autoSpaceDN w:val="0"/>
              <w:adjustRightInd w:val="0"/>
              <w:jc w:val="right"/>
              <w:rPr>
                <w:snapToGrid w:val="0"/>
                <w:sz w:val="20"/>
                <w:szCs w:val="20"/>
              </w:rPr>
            </w:pPr>
          </w:p>
        </w:tc>
        <w:tc>
          <w:tcPr>
            <w:tcW w:w="478" w:type="dxa"/>
          </w:tcPr>
          <w:p w14:paraId="6E5214BD"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5DF2888D"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3C6D66A9"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Borders>
              <w:top w:val="double" w:sz="4" w:space="0" w:color="auto"/>
            </w:tcBorders>
          </w:tcPr>
          <w:p w14:paraId="4C082847"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Borders>
              <w:top w:val="double" w:sz="4" w:space="0" w:color="auto"/>
            </w:tcBorders>
          </w:tcPr>
          <w:p w14:paraId="6FFDFF30" w14:textId="77777777" w:rsidR="007F536F" w:rsidRPr="007F536F" w:rsidRDefault="007F536F" w:rsidP="007F536F">
            <w:pPr>
              <w:widowControl w:val="0"/>
              <w:autoSpaceDE w:val="0"/>
              <w:autoSpaceDN w:val="0"/>
              <w:adjustRightInd w:val="0"/>
              <w:jc w:val="right"/>
              <w:rPr>
                <w:snapToGrid w:val="0"/>
                <w:sz w:val="20"/>
                <w:szCs w:val="20"/>
              </w:rPr>
            </w:pPr>
          </w:p>
        </w:tc>
      </w:tr>
      <w:tr w:rsidR="007F536F" w:rsidRPr="007F536F" w14:paraId="5E100F99" w14:textId="77777777" w:rsidTr="00776F72">
        <w:trPr>
          <w:trHeight w:val="276"/>
        </w:trPr>
        <w:tc>
          <w:tcPr>
            <w:tcW w:w="4620" w:type="dxa"/>
            <w:gridSpan w:val="3"/>
          </w:tcPr>
          <w:p w14:paraId="20A60079" w14:textId="77777777" w:rsidR="007F536F" w:rsidRPr="007F536F" w:rsidRDefault="007F536F" w:rsidP="007F536F">
            <w:pPr>
              <w:widowControl w:val="0"/>
              <w:autoSpaceDE w:val="0"/>
              <w:autoSpaceDN w:val="0"/>
              <w:adjustRightInd w:val="0"/>
              <w:rPr>
                <w:snapToGrid w:val="0"/>
                <w:sz w:val="20"/>
                <w:szCs w:val="20"/>
              </w:rPr>
            </w:pPr>
            <w:r w:rsidRPr="007F536F">
              <w:rPr>
                <w:snapToGrid w:val="0"/>
                <w:sz w:val="20"/>
                <w:szCs w:val="20"/>
              </w:rPr>
              <w:t>Liabilities and stockholders’ equity</w:t>
            </w:r>
          </w:p>
        </w:tc>
        <w:tc>
          <w:tcPr>
            <w:tcW w:w="478" w:type="dxa"/>
          </w:tcPr>
          <w:p w14:paraId="1B6CF667"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3E359C18"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29B213EB"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2FB2F7FD"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7FE061AC" w14:textId="77777777" w:rsidR="007F536F" w:rsidRPr="007F536F" w:rsidRDefault="007F536F" w:rsidP="007F536F">
            <w:pPr>
              <w:widowControl w:val="0"/>
              <w:autoSpaceDE w:val="0"/>
              <w:autoSpaceDN w:val="0"/>
              <w:adjustRightInd w:val="0"/>
              <w:jc w:val="right"/>
              <w:rPr>
                <w:snapToGrid w:val="0"/>
                <w:sz w:val="20"/>
                <w:szCs w:val="20"/>
              </w:rPr>
            </w:pPr>
          </w:p>
        </w:tc>
      </w:tr>
      <w:tr w:rsidR="007F536F" w:rsidRPr="007F536F" w14:paraId="6941698D" w14:textId="77777777" w:rsidTr="00776F72">
        <w:trPr>
          <w:trHeight w:val="276"/>
        </w:trPr>
        <w:tc>
          <w:tcPr>
            <w:tcW w:w="237" w:type="dxa"/>
          </w:tcPr>
          <w:p w14:paraId="29335433" w14:textId="77777777" w:rsidR="007F536F" w:rsidRPr="007F536F" w:rsidRDefault="007F536F" w:rsidP="007F536F">
            <w:pPr>
              <w:widowControl w:val="0"/>
              <w:autoSpaceDE w:val="0"/>
              <w:autoSpaceDN w:val="0"/>
              <w:adjustRightInd w:val="0"/>
              <w:jc w:val="right"/>
              <w:rPr>
                <w:snapToGrid w:val="0"/>
                <w:sz w:val="20"/>
                <w:szCs w:val="20"/>
              </w:rPr>
            </w:pPr>
          </w:p>
        </w:tc>
        <w:tc>
          <w:tcPr>
            <w:tcW w:w="4383" w:type="dxa"/>
            <w:gridSpan w:val="2"/>
          </w:tcPr>
          <w:p w14:paraId="3131E66B" w14:textId="77777777" w:rsidR="007F536F" w:rsidRPr="007F536F" w:rsidRDefault="007F536F" w:rsidP="007F536F">
            <w:pPr>
              <w:widowControl w:val="0"/>
              <w:autoSpaceDE w:val="0"/>
              <w:autoSpaceDN w:val="0"/>
              <w:adjustRightInd w:val="0"/>
              <w:rPr>
                <w:snapToGrid w:val="0"/>
                <w:sz w:val="20"/>
                <w:szCs w:val="20"/>
              </w:rPr>
            </w:pPr>
            <w:r w:rsidRPr="007F536F">
              <w:rPr>
                <w:snapToGrid w:val="0"/>
                <w:sz w:val="20"/>
                <w:szCs w:val="20"/>
              </w:rPr>
              <w:t>Total liabilities</w:t>
            </w:r>
          </w:p>
        </w:tc>
        <w:tc>
          <w:tcPr>
            <w:tcW w:w="478" w:type="dxa"/>
          </w:tcPr>
          <w:p w14:paraId="6261720F"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4F618576"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6B49DBCD"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0B8242CF" w14:textId="77777777" w:rsidR="007F536F" w:rsidRPr="007F536F" w:rsidRDefault="007F536F" w:rsidP="007F536F">
            <w:pPr>
              <w:widowControl w:val="0"/>
              <w:tabs>
                <w:tab w:val="left" w:pos="150"/>
                <w:tab w:val="decimal" w:pos="960"/>
              </w:tabs>
              <w:autoSpaceDE w:val="0"/>
              <w:autoSpaceDN w:val="0"/>
              <w:adjustRightInd w:val="0"/>
              <w:jc w:val="right"/>
              <w:rPr>
                <w:snapToGrid w:val="0"/>
                <w:sz w:val="20"/>
                <w:szCs w:val="20"/>
              </w:rPr>
            </w:pPr>
            <w:r w:rsidRPr="007F536F">
              <w:rPr>
                <w:snapToGrid w:val="0"/>
                <w:sz w:val="20"/>
                <w:szCs w:val="20"/>
              </w:rPr>
              <w:t>$</w:t>
            </w:r>
            <w:r w:rsidRPr="007F536F">
              <w:rPr>
                <w:snapToGrid w:val="0"/>
                <w:sz w:val="20"/>
                <w:szCs w:val="20"/>
              </w:rPr>
              <w:tab/>
            </w:r>
            <w:r w:rsidRPr="007F536F">
              <w:rPr>
                <w:snapToGrid w:val="0"/>
                <w:sz w:val="20"/>
                <w:szCs w:val="20"/>
              </w:rPr>
              <w:tab/>
              <w:t>3,107</w:t>
            </w:r>
          </w:p>
        </w:tc>
        <w:tc>
          <w:tcPr>
            <w:tcW w:w="1208" w:type="dxa"/>
          </w:tcPr>
          <w:p w14:paraId="1F49B214" w14:textId="77777777" w:rsidR="007F536F" w:rsidRPr="007F536F" w:rsidRDefault="007F536F" w:rsidP="007F536F">
            <w:pPr>
              <w:widowControl w:val="0"/>
              <w:tabs>
                <w:tab w:val="left" w:pos="165"/>
                <w:tab w:val="decimal" w:pos="1005"/>
              </w:tabs>
              <w:autoSpaceDE w:val="0"/>
              <w:autoSpaceDN w:val="0"/>
              <w:adjustRightInd w:val="0"/>
              <w:jc w:val="right"/>
              <w:rPr>
                <w:snapToGrid w:val="0"/>
                <w:sz w:val="20"/>
                <w:szCs w:val="20"/>
              </w:rPr>
            </w:pPr>
            <w:r w:rsidRPr="007F536F">
              <w:rPr>
                <w:snapToGrid w:val="0"/>
                <w:sz w:val="20"/>
                <w:szCs w:val="20"/>
              </w:rPr>
              <w:t>$</w:t>
            </w:r>
            <w:r w:rsidRPr="007F536F">
              <w:rPr>
                <w:snapToGrid w:val="0"/>
                <w:sz w:val="20"/>
                <w:szCs w:val="20"/>
              </w:rPr>
              <w:tab/>
            </w:r>
            <w:r w:rsidRPr="007F536F">
              <w:rPr>
                <w:snapToGrid w:val="0"/>
                <w:sz w:val="20"/>
                <w:szCs w:val="20"/>
              </w:rPr>
              <w:tab/>
              <w:t>3,520</w:t>
            </w:r>
          </w:p>
        </w:tc>
      </w:tr>
      <w:tr w:rsidR="007F536F" w:rsidRPr="007F536F" w14:paraId="6BBBD57F" w14:textId="77777777" w:rsidTr="00776F72">
        <w:trPr>
          <w:trHeight w:val="276"/>
        </w:trPr>
        <w:tc>
          <w:tcPr>
            <w:tcW w:w="237" w:type="dxa"/>
          </w:tcPr>
          <w:p w14:paraId="0D7B4095" w14:textId="77777777" w:rsidR="007F536F" w:rsidRPr="007F536F" w:rsidRDefault="007F536F" w:rsidP="007F536F">
            <w:pPr>
              <w:widowControl w:val="0"/>
              <w:autoSpaceDE w:val="0"/>
              <w:autoSpaceDN w:val="0"/>
              <w:adjustRightInd w:val="0"/>
              <w:jc w:val="right"/>
              <w:rPr>
                <w:snapToGrid w:val="0"/>
                <w:sz w:val="20"/>
                <w:szCs w:val="20"/>
              </w:rPr>
            </w:pPr>
          </w:p>
        </w:tc>
        <w:tc>
          <w:tcPr>
            <w:tcW w:w="4383" w:type="dxa"/>
            <w:gridSpan w:val="2"/>
          </w:tcPr>
          <w:p w14:paraId="4C695F5B" w14:textId="77777777" w:rsidR="007F536F" w:rsidRPr="007F536F" w:rsidRDefault="007F536F" w:rsidP="007F536F">
            <w:pPr>
              <w:widowControl w:val="0"/>
              <w:autoSpaceDE w:val="0"/>
              <w:autoSpaceDN w:val="0"/>
              <w:adjustRightInd w:val="0"/>
              <w:rPr>
                <w:snapToGrid w:val="0"/>
                <w:sz w:val="20"/>
                <w:szCs w:val="20"/>
              </w:rPr>
            </w:pPr>
            <w:r w:rsidRPr="007F536F">
              <w:rPr>
                <w:snapToGrid w:val="0"/>
                <w:sz w:val="20"/>
                <w:szCs w:val="20"/>
              </w:rPr>
              <w:t>Stockholders’ equity</w:t>
            </w:r>
          </w:p>
        </w:tc>
        <w:tc>
          <w:tcPr>
            <w:tcW w:w="478" w:type="dxa"/>
          </w:tcPr>
          <w:p w14:paraId="017C0DFD"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0F3153EB"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726D09E7"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Borders>
              <w:bottom w:val="single" w:sz="4" w:space="0" w:color="auto"/>
            </w:tcBorders>
          </w:tcPr>
          <w:p w14:paraId="5C21DCB6" w14:textId="77777777" w:rsidR="007F536F" w:rsidRPr="007F536F" w:rsidRDefault="007F536F" w:rsidP="007F536F">
            <w:pPr>
              <w:widowControl w:val="0"/>
              <w:tabs>
                <w:tab w:val="decimal" w:pos="960"/>
              </w:tabs>
              <w:autoSpaceDE w:val="0"/>
              <w:autoSpaceDN w:val="0"/>
              <w:adjustRightInd w:val="0"/>
              <w:jc w:val="right"/>
              <w:rPr>
                <w:snapToGrid w:val="0"/>
                <w:sz w:val="20"/>
                <w:szCs w:val="20"/>
              </w:rPr>
            </w:pPr>
            <w:r w:rsidRPr="007F536F">
              <w:rPr>
                <w:snapToGrid w:val="0"/>
                <w:sz w:val="20"/>
                <w:szCs w:val="20"/>
              </w:rPr>
              <w:t>5,049</w:t>
            </w:r>
          </w:p>
        </w:tc>
        <w:tc>
          <w:tcPr>
            <w:tcW w:w="1208" w:type="dxa"/>
            <w:tcBorders>
              <w:bottom w:val="single" w:sz="4" w:space="0" w:color="auto"/>
            </w:tcBorders>
          </w:tcPr>
          <w:p w14:paraId="1A1D2908" w14:textId="77777777" w:rsidR="007F536F" w:rsidRPr="007F536F" w:rsidRDefault="007F536F" w:rsidP="007F536F">
            <w:pPr>
              <w:widowControl w:val="0"/>
              <w:tabs>
                <w:tab w:val="decimal" w:pos="1005"/>
              </w:tabs>
              <w:autoSpaceDE w:val="0"/>
              <w:autoSpaceDN w:val="0"/>
              <w:adjustRightInd w:val="0"/>
              <w:jc w:val="right"/>
              <w:rPr>
                <w:snapToGrid w:val="0"/>
                <w:sz w:val="20"/>
                <w:szCs w:val="20"/>
              </w:rPr>
            </w:pPr>
            <w:r w:rsidRPr="007F536F">
              <w:rPr>
                <w:snapToGrid w:val="0"/>
                <w:sz w:val="20"/>
                <w:szCs w:val="20"/>
              </w:rPr>
              <w:t>5,763</w:t>
            </w:r>
          </w:p>
        </w:tc>
      </w:tr>
      <w:tr w:rsidR="007F536F" w:rsidRPr="007F536F" w14:paraId="76E5B109" w14:textId="77777777" w:rsidTr="00776F72">
        <w:trPr>
          <w:trHeight w:val="276"/>
        </w:trPr>
        <w:tc>
          <w:tcPr>
            <w:tcW w:w="237" w:type="dxa"/>
          </w:tcPr>
          <w:p w14:paraId="1FFA4ED1" w14:textId="77777777" w:rsidR="007F536F" w:rsidRPr="007F536F" w:rsidRDefault="007F536F" w:rsidP="007F536F">
            <w:pPr>
              <w:widowControl w:val="0"/>
              <w:autoSpaceDE w:val="0"/>
              <w:autoSpaceDN w:val="0"/>
              <w:adjustRightInd w:val="0"/>
              <w:jc w:val="right"/>
              <w:rPr>
                <w:snapToGrid w:val="0"/>
                <w:sz w:val="20"/>
                <w:szCs w:val="20"/>
              </w:rPr>
            </w:pPr>
          </w:p>
        </w:tc>
        <w:tc>
          <w:tcPr>
            <w:tcW w:w="6069" w:type="dxa"/>
            <w:gridSpan w:val="4"/>
          </w:tcPr>
          <w:p w14:paraId="60AE6E22" w14:textId="77777777" w:rsidR="007F536F" w:rsidRPr="007F536F" w:rsidRDefault="007F536F" w:rsidP="007F536F">
            <w:pPr>
              <w:widowControl w:val="0"/>
              <w:autoSpaceDE w:val="0"/>
              <w:autoSpaceDN w:val="0"/>
              <w:adjustRightInd w:val="0"/>
              <w:rPr>
                <w:snapToGrid w:val="0"/>
                <w:sz w:val="20"/>
                <w:szCs w:val="20"/>
              </w:rPr>
            </w:pPr>
            <w:r w:rsidRPr="007F536F">
              <w:rPr>
                <w:snapToGrid w:val="0"/>
                <w:sz w:val="20"/>
                <w:szCs w:val="20"/>
              </w:rPr>
              <w:t>Total liabilities and stockholders’ equity</w:t>
            </w:r>
          </w:p>
        </w:tc>
        <w:tc>
          <w:tcPr>
            <w:tcW w:w="1208" w:type="dxa"/>
          </w:tcPr>
          <w:p w14:paraId="1EC3EFC3"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Borders>
              <w:top w:val="single" w:sz="4" w:space="0" w:color="auto"/>
              <w:bottom w:val="double" w:sz="4" w:space="0" w:color="auto"/>
            </w:tcBorders>
          </w:tcPr>
          <w:p w14:paraId="5DD1C469" w14:textId="77777777" w:rsidR="007F536F" w:rsidRPr="007F536F" w:rsidRDefault="007F536F" w:rsidP="007F536F">
            <w:pPr>
              <w:widowControl w:val="0"/>
              <w:tabs>
                <w:tab w:val="left" w:pos="165"/>
                <w:tab w:val="decimal" w:pos="960"/>
              </w:tabs>
              <w:autoSpaceDE w:val="0"/>
              <w:autoSpaceDN w:val="0"/>
              <w:adjustRightInd w:val="0"/>
              <w:jc w:val="right"/>
              <w:rPr>
                <w:snapToGrid w:val="0"/>
                <w:sz w:val="20"/>
                <w:szCs w:val="20"/>
              </w:rPr>
            </w:pPr>
            <w:r w:rsidRPr="007F536F">
              <w:rPr>
                <w:snapToGrid w:val="0"/>
                <w:sz w:val="20"/>
                <w:szCs w:val="20"/>
              </w:rPr>
              <w:t>$</w:t>
            </w:r>
            <w:r w:rsidRPr="007F536F">
              <w:rPr>
                <w:snapToGrid w:val="0"/>
                <w:sz w:val="20"/>
                <w:szCs w:val="20"/>
              </w:rPr>
              <w:tab/>
            </w:r>
            <w:r w:rsidRPr="007F536F">
              <w:rPr>
                <w:snapToGrid w:val="0"/>
                <w:sz w:val="20"/>
                <w:szCs w:val="20"/>
              </w:rPr>
              <w:tab/>
              <w:t>8,156</w:t>
            </w:r>
          </w:p>
        </w:tc>
        <w:tc>
          <w:tcPr>
            <w:tcW w:w="1208" w:type="dxa"/>
            <w:tcBorders>
              <w:top w:val="single" w:sz="4" w:space="0" w:color="auto"/>
              <w:bottom w:val="double" w:sz="4" w:space="0" w:color="auto"/>
            </w:tcBorders>
          </w:tcPr>
          <w:p w14:paraId="5368CF4D" w14:textId="77777777" w:rsidR="007F536F" w:rsidRPr="007F536F" w:rsidRDefault="007F536F" w:rsidP="007F536F">
            <w:pPr>
              <w:widowControl w:val="0"/>
              <w:tabs>
                <w:tab w:val="left" w:pos="105"/>
                <w:tab w:val="decimal" w:pos="1005"/>
              </w:tabs>
              <w:autoSpaceDE w:val="0"/>
              <w:autoSpaceDN w:val="0"/>
              <w:adjustRightInd w:val="0"/>
              <w:jc w:val="right"/>
              <w:rPr>
                <w:snapToGrid w:val="0"/>
                <w:sz w:val="20"/>
                <w:szCs w:val="20"/>
              </w:rPr>
            </w:pPr>
            <w:r w:rsidRPr="007F536F">
              <w:rPr>
                <w:snapToGrid w:val="0"/>
                <w:sz w:val="20"/>
                <w:szCs w:val="20"/>
              </w:rPr>
              <w:t>$</w:t>
            </w:r>
            <w:r w:rsidRPr="007F536F">
              <w:rPr>
                <w:snapToGrid w:val="0"/>
                <w:sz w:val="20"/>
                <w:szCs w:val="20"/>
              </w:rPr>
              <w:tab/>
              <w:t xml:space="preserve">        9,283</w:t>
            </w:r>
          </w:p>
        </w:tc>
      </w:tr>
      <w:tr w:rsidR="007F536F" w:rsidRPr="007F536F" w14:paraId="59004A7A" w14:textId="77777777" w:rsidTr="00776F72">
        <w:trPr>
          <w:trHeight w:val="276"/>
        </w:trPr>
        <w:tc>
          <w:tcPr>
            <w:tcW w:w="237" w:type="dxa"/>
          </w:tcPr>
          <w:p w14:paraId="64C58DF8" w14:textId="77777777" w:rsidR="007F536F" w:rsidRPr="007F536F" w:rsidRDefault="007F536F" w:rsidP="007F536F">
            <w:pPr>
              <w:widowControl w:val="0"/>
              <w:autoSpaceDE w:val="0"/>
              <w:autoSpaceDN w:val="0"/>
              <w:adjustRightInd w:val="0"/>
              <w:jc w:val="right"/>
              <w:rPr>
                <w:snapToGrid w:val="0"/>
                <w:sz w:val="20"/>
                <w:szCs w:val="20"/>
              </w:rPr>
            </w:pPr>
          </w:p>
        </w:tc>
        <w:tc>
          <w:tcPr>
            <w:tcW w:w="4383" w:type="dxa"/>
            <w:gridSpan w:val="2"/>
          </w:tcPr>
          <w:p w14:paraId="09E44BEC" w14:textId="77777777" w:rsidR="007F536F" w:rsidRPr="007F536F" w:rsidRDefault="007F536F" w:rsidP="007F536F">
            <w:pPr>
              <w:widowControl w:val="0"/>
              <w:autoSpaceDE w:val="0"/>
              <w:autoSpaceDN w:val="0"/>
              <w:adjustRightInd w:val="0"/>
              <w:rPr>
                <w:snapToGrid w:val="0"/>
                <w:sz w:val="20"/>
                <w:szCs w:val="20"/>
              </w:rPr>
            </w:pPr>
          </w:p>
        </w:tc>
        <w:tc>
          <w:tcPr>
            <w:tcW w:w="478" w:type="dxa"/>
          </w:tcPr>
          <w:p w14:paraId="164154A2"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635891A8"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57D8CCD2"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3336789F"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4BBE278E" w14:textId="77777777" w:rsidR="007F536F" w:rsidRPr="007F536F" w:rsidRDefault="007F536F" w:rsidP="007F536F">
            <w:pPr>
              <w:widowControl w:val="0"/>
              <w:autoSpaceDE w:val="0"/>
              <w:autoSpaceDN w:val="0"/>
              <w:adjustRightInd w:val="0"/>
              <w:jc w:val="right"/>
              <w:rPr>
                <w:snapToGrid w:val="0"/>
                <w:sz w:val="20"/>
                <w:szCs w:val="20"/>
              </w:rPr>
            </w:pPr>
          </w:p>
        </w:tc>
      </w:tr>
      <w:tr w:rsidR="007F536F" w:rsidRPr="007F536F" w14:paraId="3B92B923" w14:textId="77777777" w:rsidTr="00776F72">
        <w:trPr>
          <w:trHeight w:val="276"/>
        </w:trPr>
        <w:tc>
          <w:tcPr>
            <w:tcW w:w="237" w:type="dxa"/>
          </w:tcPr>
          <w:p w14:paraId="7B3606A1" w14:textId="77777777" w:rsidR="007F536F" w:rsidRPr="007F536F" w:rsidRDefault="007F536F" w:rsidP="007F536F">
            <w:pPr>
              <w:widowControl w:val="0"/>
              <w:autoSpaceDE w:val="0"/>
              <w:autoSpaceDN w:val="0"/>
              <w:adjustRightInd w:val="0"/>
              <w:jc w:val="right"/>
              <w:rPr>
                <w:snapToGrid w:val="0"/>
                <w:sz w:val="20"/>
                <w:szCs w:val="20"/>
              </w:rPr>
            </w:pPr>
          </w:p>
        </w:tc>
        <w:tc>
          <w:tcPr>
            <w:tcW w:w="4383" w:type="dxa"/>
            <w:gridSpan w:val="2"/>
          </w:tcPr>
          <w:p w14:paraId="62A9464C" w14:textId="77777777" w:rsidR="007F536F" w:rsidRPr="007F536F" w:rsidRDefault="007F536F" w:rsidP="007F536F">
            <w:pPr>
              <w:widowControl w:val="0"/>
              <w:autoSpaceDE w:val="0"/>
              <w:autoSpaceDN w:val="0"/>
              <w:adjustRightInd w:val="0"/>
              <w:rPr>
                <w:snapToGrid w:val="0"/>
                <w:sz w:val="20"/>
                <w:szCs w:val="20"/>
              </w:rPr>
            </w:pPr>
            <w:r w:rsidRPr="007F536F">
              <w:rPr>
                <w:snapToGrid w:val="0"/>
                <w:sz w:val="20"/>
                <w:szCs w:val="20"/>
              </w:rPr>
              <w:t>Common Shares Outstanding</w:t>
            </w:r>
          </w:p>
        </w:tc>
        <w:tc>
          <w:tcPr>
            <w:tcW w:w="478" w:type="dxa"/>
          </w:tcPr>
          <w:p w14:paraId="12FABC89"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381F8EF7"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2DBC603D" w14:textId="77777777" w:rsidR="007F536F" w:rsidRPr="007F536F" w:rsidRDefault="007F536F" w:rsidP="007F536F">
            <w:pPr>
              <w:widowControl w:val="0"/>
              <w:autoSpaceDE w:val="0"/>
              <w:autoSpaceDN w:val="0"/>
              <w:adjustRightInd w:val="0"/>
              <w:jc w:val="right"/>
              <w:rPr>
                <w:snapToGrid w:val="0"/>
                <w:sz w:val="20"/>
                <w:szCs w:val="20"/>
              </w:rPr>
            </w:pPr>
          </w:p>
        </w:tc>
        <w:tc>
          <w:tcPr>
            <w:tcW w:w="1208" w:type="dxa"/>
          </w:tcPr>
          <w:p w14:paraId="2EC4DB14" w14:textId="77777777" w:rsidR="007F536F" w:rsidRPr="007F536F" w:rsidRDefault="007F536F" w:rsidP="007F536F">
            <w:pPr>
              <w:widowControl w:val="0"/>
              <w:tabs>
                <w:tab w:val="left" w:pos="150"/>
                <w:tab w:val="decimal" w:pos="960"/>
              </w:tabs>
              <w:autoSpaceDE w:val="0"/>
              <w:autoSpaceDN w:val="0"/>
              <w:adjustRightInd w:val="0"/>
              <w:jc w:val="right"/>
              <w:rPr>
                <w:snapToGrid w:val="0"/>
                <w:sz w:val="20"/>
                <w:szCs w:val="20"/>
              </w:rPr>
            </w:pPr>
            <w:r w:rsidRPr="007F536F">
              <w:rPr>
                <w:snapToGrid w:val="0"/>
                <w:sz w:val="20"/>
                <w:szCs w:val="20"/>
              </w:rPr>
              <w:tab/>
            </w:r>
            <w:r w:rsidRPr="007F536F">
              <w:rPr>
                <w:snapToGrid w:val="0"/>
                <w:sz w:val="20"/>
                <w:szCs w:val="20"/>
              </w:rPr>
              <w:tab/>
              <w:t>10,536,875</w:t>
            </w:r>
          </w:p>
        </w:tc>
        <w:tc>
          <w:tcPr>
            <w:tcW w:w="1208" w:type="dxa"/>
          </w:tcPr>
          <w:p w14:paraId="51155CB7" w14:textId="77777777" w:rsidR="007F536F" w:rsidRPr="007F536F" w:rsidRDefault="007F536F" w:rsidP="007F536F">
            <w:pPr>
              <w:widowControl w:val="0"/>
              <w:tabs>
                <w:tab w:val="left" w:pos="165"/>
                <w:tab w:val="decimal" w:pos="1005"/>
              </w:tabs>
              <w:autoSpaceDE w:val="0"/>
              <w:autoSpaceDN w:val="0"/>
              <w:adjustRightInd w:val="0"/>
              <w:jc w:val="right"/>
              <w:rPr>
                <w:snapToGrid w:val="0"/>
                <w:sz w:val="20"/>
                <w:szCs w:val="20"/>
              </w:rPr>
            </w:pPr>
            <w:r w:rsidRPr="007F536F">
              <w:rPr>
                <w:snapToGrid w:val="0"/>
                <w:sz w:val="20"/>
                <w:szCs w:val="20"/>
              </w:rPr>
              <w:tab/>
            </w:r>
            <w:r w:rsidRPr="007F536F">
              <w:rPr>
                <w:snapToGrid w:val="0"/>
                <w:sz w:val="20"/>
                <w:szCs w:val="20"/>
              </w:rPr>
              <w:tab/>
              <w:t>1,977,152</w:t>
            </w:r>
          </w:p>
        </w:tc>
      </w:tr>
    </w:tbl>
    <w:p w14:paraId="06D559B2" w14:textId="77777777" w:rsidR="007F536F" w:rsidRPr="007F536F" w:rsidRDefault="007F536F" w:rsidP="007F536F">
      <w:pPr>
        <w:widowControl w:val="0"/>
        <w:autoSpaceDE w:val="0"/>
        <w:autoSpaceDN w:val="0"/>
        <w:adjustRightInd w:val="0"/>
        <w:jc w:val="both"/>
        <w:rPr>
          <w:sz w:val="20"/>
          <w:szCs w:val="20"/>
        </w:rPr>
      </w:pPr>
    </w:p>
    <w:p w14:paraId="41DEBD4F" w14:textId="77777777" w:rsidR="007F536F" w:rsidRPr="007F536F" w:rsidRDefault="007F536F" w:rsidP="007F536F">
      <w:pPr>
        <w:widowControl w:val="0"/>
        <w:shd w:val="clear" w:color="auto" w:fill="FFFFFF"/>
        <w:autoSpaceDE w:val="0"/>
        <w:autoSpaceDN w:val="0"/>
        <w:adjustRightInd w:val="0"/>
        <w:spacing w:after="120"/>
        <w:jc w:val="both"/>
        <w:rPr>
          <w:color w:val="000000"/>
          <w:sz w:val="20"/>
          <w:szCs w:val="20"/>
        </w:rPr>
      </w:pPr>
    </w:p>
    <w:p w14:paraId="191149A8" w14:textId="77777777" w:rsidR="007F536F" w:rsidRPr="007F536F" w:rsidRDefault="007F536F" w:rsidP="007F536F">
      <w:pPr>
        <w:widowControl w:val="0"/>
        <w:shd w:val="clear" w:color="auto" w:fill="FFFFFF"/>
        <w:autoSpaceDE w:val="0"/>
        <w:autoSpaceDN w:val="0"/>
        <w:adjustRightInd w:val="0"/>
        <w:spacing w:after="120"/>
        <w:jc w:val="both"/>
        <w:rPr>
          <w:color w:val="000000"/>
          <w:sz w:val="20"/>
          <w:szCs w:val="20"/>
        </w:rPr>
      </w:pPr>
    </w:p>
    <w:p w14:paraId="2B519A86" w14:textId="2381A9CF" w:rsidR="004B3179" w:rsidRPr="008D7E3A" w:rsidRDefault="004B3179" w:rsidP="008D7E3A"/>
    <w:sectPr w:rsidR="004B3179" w:rsidRPr="008D7E3A" w:rsidSect="007F536F">
      <w:footerReference w:type="default" r:id="rId22"/>
      <w:headerReference w:type="first" r:id="rId23"/>
      <w:pgSz w:w="12240" w:h="15840" w:code="1"/>
      <w:pgMar w:top="720" w:right="1152" w:bottom="634" w:left="1008"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6C477" w14:textId="77777777" w:rsidR="00034407" w:rsidRDefault="00034407" w:rsidP="004422FB">
      <w:r>
        <w:separator/>
      </w:r>
    </w:p>
  </w:endnote>
  <w:endnote w:type="continuationSeparator" w:id="0">
    <w:p w14:paraId="4C2DF3E9" w14:textId="77777777" w:rsidR="00034407" w:rsidRDefault="00034407" w:rsidP="004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B9915" w14:textId="6B1DAD01" w:rsidR="004422FB" w:rsidRDefault="00A7489D" w:rsidP="00A7489D">
    <w:pPr>
      <w:pStyle w:val="Footer"/>
      <w:jc w:val="center"/>
    </w:pPr>
    <w:r>
      <w:fldChar w:fldCharType="begin"/>
    </w:r>
    <w:r>
      <w:instrText xml:space="preserve"> PAGE   \* MERGEFORMAT </w:instrText>
    </w:r>
    <w:r>
      <w:fldChar w:fldCharType="separate"/>
    </w:r>
    <w:r w:rsidR="00D46FAD">
      <w:rPr>
        <w:noProof/>
      </w:rPr>
      <w:t>3</w:t>
    </w:r>
    <w:r>
      <w:rPr>
        <w:noProof/>
      </w:rPr>
      <w:fldChar w:fldCharType="end"/>
    </w:r>
  </w:p>
  <w:p w14:paraId="22F65163" w14:textId="77777777" w:rsidR="008A5F28" w:rsidRDefault="008A5F28" w:rsidP="004422FB">
    <w:pPr>
      <w:pStyle w:val="Footer"/>
    </w:pPr>
  </w:p>
  <w:p w14:paraId="00D1A497" w14:textId="3F13EF94" w:rsidR="004422FB" w:rsidRDefault="004422FB" w:rsidP="008A5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04FC9" w14:textId="77777777" w:rsidR="007F536F" w:rsidRDefault="007F53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DEDD4" w14:textId="77777777" w:rsidR="007F536F" w:rsidRPr="00AA6838" w:rsidRDefault="007F536F" w:rsidP="00AA6838">
    <w:pPr>
      <w:pStyle w:val="Footer"/>
      <w:jc w:val="center"/>
      <w:rPr>
        <w:b/>
      </w:rPr>
    </w:pPr>
    <w:r>
      <w:rPr>
        <w:b/>
      </w:rPr>
      <w:t>MORE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D659F" w14:textId="77777777" w:rsidR="007F536F" w:rsidRPr="00AA6838" w:rsidRDefault="007F536F" w:rsidP="00AA6838">
    <w:pPr>
      <w:pStyle w:val="Footer"/>
      <w:jc w:val="center"/>
      <w:rPr>
        <w:b/>
      </w:rPr>
    </w:pPr>
    <w:r>
      <w:rPr>
        <w:b/>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0E64D" w14:textId="77777777" w:rsidR="007F536F" w:rsidRDefault="007F536F" w:rsidP="00965DF2">
    <w:pPr>
      <w:pStyle w:val="Footer"/>
      <w:jc w:val="center"/>
      <w:rPr>
        <w:b/>
      </w:rPr>
    </w:pPr>
    <w:r>
      <w:rPr>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34A8E" w14:textId="77777777" w:rsidR="00034407" w:rsidRDefault="00034407" w:rsidP="004422FB">
      <w:r>
        <w:separator/>
      </w:r>
    </w:p>
  </w:footnote>
  <w:footnote w:type="continuationSeparator" w:id="0">
    <w:p w14:paraId="7347A4CF" w14:textId="77777777" w:rsidR="00034407" w:rsidRDefault="00034407" w:rsidP="0044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7E4F4" w14:textId="77777777" w:rsidR="007F536F" w:rsidRDefault="007F53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A1374" w14:textId="77777777" w:rsidR="007F536F" w:rsidRDefault="007F53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85EAB" w14:textId="77777777" w:rsidR="007F536F" w:rsidRDefault="007F536F">
    <w:pPr>
      <w:pStyle w:val="Header"/>
    </w:pPr>
    <w:r w:rsidRPr="004F39CB">
      <w:rPr>
        <w:noProof/>
      </w:rPr>
      <w:drawing>
        <wp:inline distT="0" distB="0" distL="0" distR="0" wp14:anchorId="2D0C9EF2" wp14:editId="583A83D4">
          <wp:extent cx="1892878" cy="501875"/>
          <wp:effectExtent l="19050" t="0" r="0" b="0"/>
          <wp:docPr id="4" name="Picture 1" descr="C:\Users\mreynolds\Desktop\GeoVax_logo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ynolds\Desktop\GeoVax_logo_hi-res.jpg"/>
                  <pic:cNvPicPr>
                    <a:picLocks noChangeAspect="1" noChangeArrowheads="1"/>
                  </pic:cNvPicPr>
                </pic:nvPicPr>
                <pic:blipFill>
                  <a:blip r:embed="rId1"/>
                  <a:srcRect/>
                  <a:stretch>
                    <a:fillRect/>
                  </a:stretch>
                </pic:blipFill>
                <pic:spPr bwMode="auto">
                  <a:xfrm>
                    <a:off x="0" y="0"/>
                    <a:ext cx="1894226" cy="502232"/>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5DA3" w14:textId="77777777" w:rsidR="007F536F" w:rsidRDefault="007F5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23EF7"/>
    <w:multiLevelType w:val="hybridMultilevel"/>
    <w:tmpl w:val="0582C1DE"/>
    <w:lvl w:ilvl="0" w:tplc="BBF2C682">
      <w:start w:val="10"/>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4AA42C87"/>
    <w:multiLevelType w:val="multilevel"/>
    <w:tmpl w:val="C6E6E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A94E45"/>
    <w:multiLevelType w:val="hybridMultilevel"/>
    <w:tmpl w:val="B1E8AD8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977875">
    <w:abstractNumId w:val="0"/>
  </w:num>
  <w:num w:numId="2" w16cid:durableId="1845196331">
    <w:abstractNumId w:val="2"/>
  </w:num>
  <w:num w:numId="3" w16cid:durableId="305210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 w:name="SWDocIDLocation" w:val="4096"/>
  </w:docVars>
  <w:rsids>
    <w:rsidRoot w:val="004B3179"/>
    <w:rsid w:val="00001E52"/>
    <w:rsid w:val="00034407"/>
    <w:rsid w:val="000358E1"/>
    <w:rsid w:val="000520F7"/>
    <w:rsid w:val="000871C8"/>
    <w:rsid w:val="00087359"/>
    <w:rsid w:val="00096511"/>
    <w:rsid w:val="000D522C"/>
    <w:rsid w:val="000E6508"/>
    <w:rsid w:val="00134BBC"/>
    <w:rsid w:val="00144D4F"/>
    <w:rsid w:val="00153CF3"/>
    <w:rsid w:val="00172B54"/>
    <w:rsid w:val="00186A50"/>
    <w:rsid w:val="001A687F"/>
    <w:rsid w:val="001D3520"/>
    <w:rsid w:val="002049D0"/>
    <w:rsid w:val="00220F69"/>
    <w:rsid w:val="00241DEF"/>
    <w:rsid w:val="00246139"/>
    <w:rsid w:val="00277674"/>
    <w:rsid w:val="00296BF7"/>
    <w:rsid w:val="002E7A44"/>
    <w:rsid w:val="002F020C"/>
    <w:rsid w:val="002F47BC"/>
    <w:rsid w:val="00304DE8"/>
    <w:rsid w:val="0036369E"/>
    <w:rsid w:val="003643C1"/>
    <w:rsid w:val="00376DEC"/>
    <w:rsid w:val="00387407"/>
    <w:rsid w:val="003B3474"/>
    <w:rsid w:val="003B670F"/>
    <w:rsid w:val="003F3DEB"/>
    <w:rsid w:val="00401F33"/>
    <w:rsid w:val="00404B0F"/>
    <w:rsid w:val="00414E31"/>
    <w:rsid w:val="004422FB"/>
    <w:rsid w:val="004433D8"/>
    <w:rsid w:val="00443A0F"/>
    <w:rsid w:val="004562CE"/>
    <w:rsid w:val="004641B9"/>
    <w:rsid w:val="00494777"/>
    <w:rsid w:val="004B3179"/>
    <w:rsid w:val="004C2859"/>
    <w:rsid w:val="004D4E0A"/>
    <w:rsid w:val="004F383B"/>
    <w:rsid w:val="00552D47"/>
    <w:rsid w:val="00583D37"/>
    <w:rsid w:val="005A1F60"/>
    <w:rsid w:val="006131D7"/>
    <w:rsid w:val="00652DCC"/>
    <w:rsid w:val="00677F25"/>
    <w:rsid w:val="00691E45"/>
    <w:rsid w:val="006959EC"/>
    <w:rsid w:val="006A30B4"/>
    <w:rsid w:val="006B4011"/>
    <w:rsid w:val="006C4831"/>
    <w:rsid w:val="006E7AA3"/>
    <w:rsid w:val="007150B5"/>
    <w:rsid w:val="00716A75"/>
    <w:rsid w:val="00734084"/>
    <w:rsid w:val="00766EB9"/>
    <w:rsid w:val="007B1C14"/>
    <w:rsid w:val="007B5113"/>
    <w:rsid w:val="007C095B"/>
    <w:rsid w:val="007E3D57"/>
    <w:rsid w:val="007F536F"/>
    <w:rsid w:val="00833F99"/>
    <w:rsid w:val="00846F5B"/>
    <w:rsid w:val="0089446A"/>
    <w:rsid w:val="00894597"/>
    <w:rsid w:val="008A3A73"/>
    <w:rsid w:val="008A45B8"/>
    <w:rsid w:val="008A5F28"/>
    <w:rsid w:val="008B7616"/>
    <w:rsid w:val="008D7E3A"/>
    <w:rsid w:val="008E4E77"/>
    <w:rsid w:val="00903941"/>
    <w:rsid w:val="00922B4A"/>
    <w:rsid w:val="00922FCF"/>
    <w:rsid w:val="0095070C"/>
    <w:rsid w:val="00995863"/>
    <w:rsid w:val="009B15B2"/>
    <w:rsid w:val="009B2328"/>
    <w:rsid w:val="009F16FD"/>
    <w:rsid w:val="009F32C7"/>
    <w:rsid w:val="009F7B30"/>
    <w:rsid w:val="00A213F5"/>
    <w:rsid w:val="00A30573"/>
    <w:rsid w:val="00A41C92"/>
    <w:rsid w:val="00A7343F"/>
    <w:rsid w:val="00A7489D"/>
    <w:rsid w:val="00A7711D"/>
    <w:rsid w:val="00AA2DDC"/>
    <w:rsid w:val="00AA3D35"/>
    <w:rsid w:val="00B02C57"/>
    <w:rsid w:val="00B2632B"/>
    <w:rsid w:val="00B44E7B"/>
    <w:rsid w:val="00B4616E"/>
    <w:rsid w:val="00B4673C"/>
    <w:rsid w:val="00B51502"/>
    <w:rsid w:val="00B61191"/>
    <w:rsid w:val="00B66B45"/>
    <w:rsid w:val="00BB7014"/>
    <w:rsid w:val="00BC0F2B"/>
    <w:rsid w:val="00BC6263"/>
    <w:rsid w:val="00BC6551"/>
    <w:rsid w:val="00BF415F"/>
    <w:rsid w:val="00C36B57"/>
    <w:rsid w:val="00C4413A"/>
    <w:rsid w:val="00C528BC"/>
    <w:rsid w:val="00C53991"/>
    <w:rsid w:val="00C62849"/>
    <w:rsid w:val="00C77462"/>
    <w:rsid w:val="00C815CE"/>
    <w:rsid w:val="00C936D4"/>
    <w:rsid w:val="00CB1EAA"/>
    <w:rsid w:val="00CB3D5C"/>
    <w:rsid w:val="00CC52F4"/>
    <w:rsid w:val="00CD55C2"/>
    <w:rsid w:val="00CE3919"/>
    <w:rsid w:val="00CE3B4D"/>
    <w:rsid w:val="00D03053"/>
    <w:rsid w:val="00D128D7"/>
    <w:rsid w:val="00D17971"/>
    <w:rsid w:val="00D4356D"/>
    <w:rsid w:val="00D46FAD"/>
    <w:rsid w:val="00D60567"/>
    <w:rsid w:val="00D74319"/>
    <w:rsid w:val="00D93377"/>
    <w:rsid w:val="00D95C48"/>
    <w:rsid w:val="00DE728B"/>
    <w:rsid w:val="00E115D3"/>
    <w:rsid w:val="00E633E7"/>
    <w:rsid w:val="00EB5CF9"/>
    <w:rsid w:val="00EC3F8A"/>
    <w:rsid w:val="00F073F4"/>
    <w:rsid w:val="00F100FC"/>
    <w:rsid w:val="00F13A9C"/>
    <w:rsid w:val="00F228DB"/>
    <w:rsid w:val="00F27385"/>
    <w:rsid w:val="00F404C4"/>
    <w:rsid w:val="00F470EC"/>
    <w:rsid w:val="00F53643"/>
    <w:rsid w:val="00F65C64"/>
    <w:rsid w:val="00F737D0"/>
    <w:rsid w:val="00F958BB"/>
    <w:rsid w:val="00FD1599"/>
    <w:rsid w:val="00FD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574FEA4"/>
  <w15:docId w15:val="{A58224E9-FEC6-4772-B1B7-DCE99921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 w:type="paragraph" w:styleId="BalloonText">
    <w:name w:val="Balloon Text"/>
    <w:basedOn w:val="Normal"/>
    <w:link w:val="BalloonTextChar"/>
    <w:uiPriority w:val="99"/>
    <w:semiHidden/>
    <w:unhideWhenUsed/>
    <w:rsid w:val="00766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EB9"/>
    <w:rPr>
      <w:rFonts w:ascii="Segoe UI" w:hAnsi="Segoe UI" w:cs="Segoe UI"/>
      <w:sz w:val="18"/>
      <w:szCs w:val="18"/>
    </w:rPr>
  </w:style>
  <w:style w:type="paragraph" w:styleId="ListParagraph">
    <w:name w:val="List Paragraph"/>
    <w:basedOn w:val="Normal"/>
    <w:uiPriority w:val="34"/>
    <w:qFormat/>
    <w:rsid w:val="003B670F"/>
    <w:pPr>
      <w:ind w:left="720"/>
      <w:contextualSpacing/>
    </w:pPr>
  </w:style>
  <w:style w:type="character" w:styleId="Emphasis">
    <w:name w:val="Emphasis"/>
    <w:basedOn w:val="DefaultParagraphFont"/>
    <w:uiPriority w:val="20"/>
    <w:qFormat/>
    <w:rsid w:val="00CB1EAA"/>
    <w:rPr>
      <w:i/>
      <w:iCs/>
    </w:rPr>
  </w:style>
  <w:style w:type="table" w:styleId="TableGrid">
    <w:name w:val="Table Grid"/>
    <w:basedOn w:val="TableNormal"/>
    <w:uiPriority w:val="59"/>
    <w:rsid w:val="00D1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2FB"/>
    <w:pPr>
      <w:tabs>
        <w:tab w:val="center" w:pos="4680"/>
        <w:tab w:val="right" w:pos="9360"/>
      </w:tabs>
    </w:pPr>
  </w:style>
  <w:style w:type="character" w:customStyle="1" w:styleId="HeaderChar">
    <w:name w:val="Header Char"/>
    <w:basedOn w:val="DefaultParagraphFont"/>
    <w:link w:val="Header"/>
    <w:uiPriority w:val="99"/>
    <w:rsid w:val="004422FB"/>
    <w:rPr>
      <w:sz w:val="24"/>
      <w:szCs w:val="24"/>
    </w:rPr>
  </w:style>
  <w:style w:type="paragraph" w:styleId="Footer">
    <w:name w:val="footer"/>
    <w:basedOn w:val="Normal"/>
    <w:link w:val="FooterChar"/>
    <w:uiPriority w:val="99"/>
    <w:unhideWhenUsed/>
    <w:rsid w:val="004422FB"/>
    <w:pPr>
      <w:tabs>
        <w:tab w:val="center" w:pos="4680"/>
        <w:tab w:val="right" w:pos="9360"/>
      </w:tabs>
    </w:pPr>
  </w:style>
  <w:style w:type="character" w:customStyle="1" w:styleId="FooterChar">
    <w:name w:val="Footer Char"/>
    <w:basedOn w:val="DefaultParagraphFont"/>
    <w:link w:val="Footer"/>
    <w:uiPriority w:val="99"/>
    <w:rsid w:val="004422FB"/>
    <w:rPr>
      <w:sz w:val="24"/>
      <w:szCs w:val="24"/>
    </w:rPr>
  </w:style>
  <w:style w:type="character" w:styleId="Hyperlink">
    <w:name w:val="Hyperlink"/>
    <w:basedOn w:val="DefaultParagraphFont"/>
    <w:uiPriority w:val="99"/>
    <w:unhideWhenUsed/>
    <w:rsid w:val="00F100FC"/>
    <w:rPr>
      <w:color w:val="0563C1" w:themeColor="hyperlink"/>
      <w:u w:val="single"/>
    </w:rPr>
  </w:style>
  <w:style w:type="character" w:customStyle="1" w:styleId="UnresolvedMention1">
    <w:name w:val="Unresolved Mention1"/>
    <w:basedOn w:val="DefaultParagraphFont"/>
    <w:uiPriority w:val="99"/>
    <w:semiHidden/>
    <w:unhideWhenUsed/>
    <w:rsid w:val="00F100FC"/>
    <w:rPr>
      <w:color w:val="605E5C"/>
      <w:shd w:val="clear" w:color="auto" w:fill="E1DFDD"/>
    </w:rPr>
  </w:style>
  <w:style w:type="paragraph" w:styleId="FootnoteText">
    <w:name w:val="footnote text"/>
    <w:basedOn w:val="Normal"/>
    <w:link w:val="FootnoteTextChar"/>
    <w:uiPriority w:val="99"/>
    <w:semiHidden/>
    <w:unhideWhenUsed/>
    <w:rsid w:val="00C36B57"/>
    <w:rPr>
      <w:sz w:val="20"/>
      <w:szCs w:val="20"/>
    </w:rPr>
  </w:style>
  <w:style w:type="character" w:customStyle="1" w:styleId="FootnoteTextChar">
    <w:name w:val="Footnote Text Char"/>
    <w:basedOn w:val="DefaultParagraphFont"/>
    <w:link w:val="FootnoteText"/>
    <w:uiPriority w:val="99"/>
    <w:semiHidden/>
    <w:rsid w:val="00C36B57"/>
  </w:style>
  <w:style w:type="character" w:styleId="FootnoteReference">
    <w:name w:val="footnote reference"/>
    <w:basedOn w:val="DefaultParagraphFont"/>
    <w:uiPriority w:val="99"/>
    <w:semiHidden/>
    <w:unhideWhenUsed/>
    <w:rsid w:val="00C36B57"/>
    <w:rPr>
      <w:vertAlign w:val="superscript"/>
    </w:rPr>
  </w:style>
  <w:style w:type="paragraph" w:styleId="Revision">
    <w:name w:val="Revision"/>
    <w:hidden/>
    <w:uiPriority w:val="99"/>
    <w:semiHidden/>
    <w:rsid w:val="00995863"/>
    <w:rPr>
      <w:sz w:val="24"/>
      <w:szCs w:val="24"/>
    </w:rPr>
  </w:style>
  <w:style w:type="character" w:styleId="UnresolvedMention">
    <w:name w:val="Unresolved Mention"/>
    <w:basedOn w:val="DefaultParagraphFont"/>
    <w:uiPriority w:val="99"/>
    <w:semiHidden/>
    <w:unhideWhenUsed/>
    <w:rsid w:val="00186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154986">
      <w:bodyDiv w:val="1"/>
      <w:marLeft w:val="0"/>
      <w:marRight w:val="0"/>
      <w:marTop w:val="0"/>
      <w:marBottom w:val="0"/>
      <w:divBdr>
        <w:top w:val="none" w:sz="0" w:space="0" w:color="auto"/>
        <w:left w:val="none" w:sz="0" w:space="0" w:color="auto"/>
        <w:bottom w:val="none" w:sz="0" w:space="0" w:color="auto"/>
        <w:right w:val="none" w:sz="0" w:space="0" w:color="auto"/>
      </w:divBdr>
    </w:div>
    <w:div w:id="1718511874">
      <w:bodyDiv w:val="1"/>
      <w:marLeft w:val="0"/>
      <w:marRight w:val="0"/>
      <w:marTop w:val="0"/>
      <w:marBottom w:val="0"/>
      <w:divBdr>
        <w:top w:val="none" w:sz="0" w:space="0" w:color="auto"/>
        <w:left w:val="none" w:sz="0" w:space="0" w:color="auto"/>
        <w:bottom w:val="none" w:sz="0" w:space="0" w:color="auto"/>
        <w:right w:val="none" w:sz="0" w:space="0" w:color="auto"/>
      </w:divBdr>
      <w:divsChild>
        <w:div w:id="1721703616">
          <w:marLeft w:val="144"/>
          <w:marRight w:val="144"/>
          <w:marTop w:val="60"/>
          <w:marBottom w:val="60"/>
          <w:divBdr>
            <w:top w:val="none" w:sz="0" w:space="0" w:color="auto"/>
            <w:left w:val="none" w:sz="0" w:space="0" w:color="auto"/>
            <w:bottom w:val="none" w:sz="0" w:space="0" w:color="auto"/>
            <w:right w:val="none" w:sz="0" w:space="0" w:color="auto"/>
          </w:divBdr>
        </w:div>
        <w:div w:id="89159179">
          <w:marLeft w:val="144"/>
          <w:marRight w:val="144"/>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geovax.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geovax.com"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2.safelinks.protection.outlook.com/?url=https%3A%2F%2Fprotect.checkpoint.com%2Fv2%2Fr01%2F___https%3A%2F%2Fregister.vevent.com%2Fregister%2FBI4b603a8d239a44c9bf100baab74f57b8___.YzJ1OnBhdWxiYWtlcm5vdGlmaWVkY29tOmM6bzpkOTg3NjVmZjE1MWJjYmE5YzM4YzAyOGIxZjM0MDg2OTo3OjMxNDM6NmZhNzlhYTdjMzE1ZDVlODRlNDljZWM3ZDJlMTdiMjVmMGMzNzIzNmIxY2ZlNDIyMDc4MzAzNzU2NThhYjJjZTpoOkY6Tg&amp;data=05%7C02%7CMaximilian.Gadicke%40precisionaq.com%7C3156a3c5a78d435af03e08dd3fdac247%7Cb71ff3f628164ca8a9b938f820f91ad1%7C0%7C0%7C638736932106218241%7CUnknown%7CTWFpbGZsb3d8eyJFbXB0eU1hcGkiOnRydWUsIlYiOiIwLjAuMDAwMCIsIlAiOiJXaW4zMiIsIkFOIjoiTWFpbCIsIldUIjoyfQ%3D%3D%7C0%7C%7C%7C&amp;sdata=19FbxwD%2BjYyqDiG4x8Z9GoTFnIzUHknW7oUgUBLYzFQ%3D&amp;reserved=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r@roberts-communications.com" TargetMode="External"/><Relationship Id="rId23" Type="http://schemas.openxmlformats.org/officeDocument/2006/relationships/header" Target="header4.xml"/><Relationship Id="rId10" Type="http://schemas.openxmlformats.org/officeDocument/2006/relationships/hyperlink" Target="https://www.geovax.com/investor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dge.media-server.com/mmc/p/jftt45go" TargetMode="External"/><Relationship Id="rId14" Type="http://schemas.openxmlformats.org/officeDocument/2006/relationships/hyperlink" Target="mailto:geovax@precisionaq.com" TargetMode="Externa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7C02-9BF1-4243-A166-296F0E00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3192</Words>
  <Characters>18195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govx20200928_8k.htm</vt:lpstr>
    </vt:vector>
  </TitlesOfParts>
  <Company/>
  <LinksUpToDate>false</LinksUpToDate>
  <CharactersWithSpaces>21345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govx20200928_8k.htm</dc:title>
  <dc:creator>Mark Reynolds</dc:creator>
  <cp:lastModifiedBy>Susan Reuland</cp:lastModifiedBy>
  <cp:revision>3</cp:revision>
  <cp:lastPrinted>2022-05-03T12:55:00Z</cp:lastPrinted>
  <dcterms:created xsi:type="dcterms:W3CDTF">2025-03-28T20:08:00Z</dcterms:created>
  <dcterms:modified xsi:type="dcterms:W3CDTF">2025-03-28T20:09:00Z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54725070v1</vt:lpwstr>
  </property>
</Properties>
</file>