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000000"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346FCCE7" w:rsidR="008D7E3A" w:rsidRDefault="008D7E3A" w:rsidP="008D7E3A">
      <w:pPr>
        <w:ind w:left="144" w:right="144"/>
        <w:jc w:val="center"/>
        <w:rPr>
          <w:sz w:val="20"/>
          <w:szCs w:val="20"/>
        </w:rPr>
      </w:pPr>
      <w:r>
        <w:rPr>
          <w:b/>
          <w:bCs/>
          <w:sz w:val="20"/>
          <w:szCs w:val="20"/>
        </w:rPr>
        <w:t>Date of report (Date of earliest event reported):  </w:t>
      </w:r>
      <w:r w:rsidR="00485F52">
        <w:rPr>
          <w:b/>
          <w:bCs/>
          <w:sz w:val="20"/>
          <w:szCs w:val="20"/>
        </w:rPr>
        <w:t xml:space="preserve">June </w:t>
      </w:r>
      <w:r w:rsidR="00314CAF">
        <w:rPr>
          <w:b/>
          <w:bCs/>
          <w:sz w:val="20"/>
          <w:szCs w:val="20"/>
        </w:rPr>
        <w:t>20</w:t>
      </w:r>
      <w:r>
        <w:rPr>
          <w:b/>
          <w:bCs/>
          <w:sz w:val="20"/>
          <w:szCs w:val="20"/>
        </w:rPr>
        <w:t>, 202</w:t>
      </w:r>
      <w:r w:rsidR="006E51BD">
        <w:rPr>
          <w:b/>
          <w:bCs/>
          <w:sz w:val="20"/>
          <w:szCs w:val="20"/>
        </w:rPr>
        <w:t>4</w:t>
      </w:r>
      <w:r>
        <w:rPr>
          <w:sz w:val="20"/>
          <w:szCs w:val="20"/>
        </w:rPr>
        <w:t> </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000000"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5691F0C3"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236FA74A" w14:textId="00B84CC6" w:rsidR="008D7E3A" w:rsidRDefault="008D7E3A" w:rsidP="004513BC">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5808B58E" w14:textId="3AF969F0" w:rsidR="008D7E3A" w:rsidRDefault="008D7E3A" w:rsidP="008D7E3A">
      <w:pPr>
        <w:ind w:left="144" w:right="144"/>
        <w:rPr>
          <w:sz w:val="20"/>
          <w:szCs w:val="20"/>
        </w:rPr>
      </w:pPr>
      <w:r>
        <w:rPr>
          <w:sz w:val="20"/>
          <w:szCs w:val="20"/>
        </w:rPr>
        <w:br w:type="page"/>
      </w:r>
    </w:p>
    <w:p w14:paraId="2B28EAC3" w14:textId="6AA79B30" w:rsidR="00CB3D5C" w:rsidRDefault="00CB3D5C" w:rsidP="00C36B57">
      <w:pPr>
        <w:ind w:left="144" w:right="144"/>
        <w:rPr>
          <w:sz w:val="20"/>
          <w:szCs w:val="20"/>
        </w:rPr>
      </w:pPr>
    </w:p>
    <w:p w14:paraId="68BAEFFD" w14:textId="2AC59DCA" w:rsidR="00F9508E" w:rsidRPr="00266D46" w:rsidRDefault="00F9508E" w:rsidP="00F9508E">
      <w:pPr>
        <w:ind w:left="144" w:right="144"/>
        <w:jc w:val="both"/>
        <w:rPr>
          <w:sz w:val="20"/>
          <w:szCs w:val="20"/>
        </w:rPr>
      </w:pPr>
      <w:r>
        <w:rPr>
          <w:sz w:val="20"/>
          <w:szCs w:val="20"/>
        </w:rPr>
        <w:t xml:space="preserve">This Current Report on Form 8-K and other reports filed by </w:t>
      </w:r>
      <w:proofErr w:type="spellStart"/>
      <w:r>
        <w:rPr>
          <w:sz w:val="20"/>
          <w:szCs w:val="20"/>
        </w:rPr>
        <w:t>GeoVax</w:t>
      </w:r>
      <w:proofErr w:type="spellEnd"/>
      <w:r>
        <w:rPr>
          <w:sz w:val="20"/>
          <w:szCs w:val="20"/>
        </w:rPr>
        <w:t xml:space="preserve"> Labs, Inc. (the “Company</w:t>
      </w:r>
      <w:r w:rsidR="00EC14ED">
        <w:rPr>
          <w:sz w:val="20"/>
          <w:szCs w:val="20"/>
        </w:rPr>
        <w:t>,</w:t>
      </w:r>
      <w:r>
        <w:rPr>
          <w:sz w:val="20"/>
          <w:szCs w:val="20"/>
        </w:rPr>
        <w:t>”</w:t>
      </w:r>
      <w:r w:rsidR="00EC14ED">
        <w:rPr>
          <w:sz w:val="20"/>
          <w:szCs w:val="20"/>
        </w:rPr>
        <w:t xml:space="preserve"> “us” or “we”</w:t>
      </w:r>
      <w:r>
        <w:rPr>
          <w:sz w:val="20"/>
          <w:szCs w:val="20"/>
        </w:rPr>
        <w:t>)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w:t>
      </w:r>
      <w:r w:rsidRPr="00314FC4">
        <w:rPr>
          <w:sz w:val="20"/>
          <w:szCs w:val="20"/>
        </w:rPr>
        <w:t xml:space="preserve">believe,” “look forward to,” “may,” “estimate,” “continue,” “anticipate,” “intend,” “should,” “plan,” “could,” </w:t>
      </w:r>
      <w:r>
        <w:rPr>
          <w:sz w:val="20"/>
          <w:szCs w:val="20"/>
        </w:rPr>
        <w:t xml:space="preserve">“desire,” </w:t>
      </w:r>
      <w:r w:rsidRPr="00314FC4">
        <w:rPr>
          <w:sz w:val="20"/>
          <w:szCs w:val="20"/>
        </w:rPr>
        <w:t>“target,” “potential,” “is likely,” “will,” “expect”</w:t>
      </w:r>
      <w:r>
        <w:rPr>
          <w:sz w:val="20"/>
          <w:szCs w:val="20"/>
        </w:rPr>
        <w:t xml:space="preserve">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w:t>
      </w:r>
      <w:r w:rsidRPr="00266D46">
        <w:rPr>
          <w:sz w:val="20"/>
          <w:szCs w:val="20"/>
        </w:rPr>
        <w:t>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66959998" w14:textId="04C853BC" w:rsidR="00F9508E" w:rsidRDefault="00F9508E" w:rsidP="00F9508E">
      <w:pPr>
        <w:ind w:left="144" w:right="144"/>
        <w:jc w:val="both"/>
        <w:rPr>
          <w:sz w:val="20"/>
          <w:szCs w:val="20"/>
        </w:rPr>
      </w:pPr>
    </w:p>
    <w:p w14:paraId="74BAFB2A" w14:textId="77777777" w:rsidR="00F47904" w:rsidRPr="00C524E3" w:rsidRDefault="00F47904" w:rsidP="00F47904">
      <w:pPr>
        <w:ind w:left="144" w:right="144"/>
        <w:jc w:val="both"/>
        <w:rPr>
          <w:sz w:val="20"/>
          <w:szCs w:val="20"/>
        </w:rPr>
      </w:pPr>
      <w:r w:rsidRPr="00C524E3">
        <w:rPr>
          <w:b/>
          <w:bCs/>
          <w:sz w:val="20"/>
          <w:szCs w:val="20"/>
        </w:rPr>
        <w:t xml:space="preserve">Item </w:t>
      </w:r>
      <w:r>
        <w:rPr>
          <w:b/>
          <w:bCs/>
          <w:sz w:val="20"/>
          <w:szCs w:val="20"/>
        </w:rPr>
        <w:t>3.01</w:t>
      </w:r>
      <w:r>
        <w:rPr>
          <w:b/>
          <w:bCs/>
          <w:sz w:val="20"/>
          <w:szCs w:val="20"/>
        </w:rPr>
        <w:tab/>
      </w:r>
      <w:r w:rsidRPr="00BD31FD">
        <w:rPr>
          <w:b/>
          <w:bCs/>
          <w:sz w:val="20"/>
          <w:szCs w:val="20"/>
        </w:rPr>
        <w:t xml:space="preserve">Notice of Delisting or Failure to Satisfy a Continued Listing Rule or </w:t>
      </w:r>
      <w:proofErr w:type="gramStart"/>
      <w:r w:rsidRPr="00BD31FD">
        <w:rPr>
          <w:b/>
          <w:bCs/>
          <w:sz w:val="20"/>
          <w:szCs w:val="20"/>
        </w:rPr>
        <w:t>Standard;</w:t>
      </w:r>
      <w:proofErr w:type="gramEnd"/>
      <w:r w:rsidRPr="00BD31FD">
        <w:rPr>
          <w:b/>
          <w:bCs/>
          <w:sz w:val="20"/>
          <w:szCs w:val="20"/>
        </w:rPr>
        <w:t xml:space="preserve"> Transfer of Listing</w:t>
      </w:r>
      <w:r w:rsidRPr="00C524E3">
        <w:rPr>
          <w:b/>
          <w:bCs/>
          <w:sz w:val="20"/>
          <w:szCs w:val="20"/>
        </w:rPr>
        <w:t>.</w:t>
      </w:r>
    </w:p>
    <w:p w14:paraId="1368BFC2" w14:textId="77777777" w:rsidR="00F47904" w:rsidRDefault="00F47904" w:rsidP="00F9508E">
      <w:pPr>
        <w:ind w:left="144" w:right="144"/>
        <w:jc w:val="both"/>
        <w:rPr>
          <w:sz w:val="20"/>
          <w:szCs w:val="20"/>
        </w:rPr>
      </w:pPr>
    </w:p>
    <w:p w14:paraId="1B6C4C42" w14:textId="6E13E690" w:rsidR="008131B0" w:rsidRPr="00AE0BA4" w:rsidRDefault="008131B0" w:rsidP="00AE0BA4">
      <w:pPr>
        <w:ind w:left="180"/>
        <w:jc w:val="both"/>
        <w:rPr>
          <w:sz w:val="20"/>
          <w:szCs w:val="20"/>
        </w:rPr>
      </w:pPr>
      <w:r w:rsidRPr="006C2D36">
        <w:rPr>
          <w:sz w:val="20"/>
          <w:szCs w:val="20"/>
        </w:rPr>
        <w:t xml:space="preserve">On June </w:t>
      </w:r>
      <w:r w:rsidR="00314CAF">
        <w:rPr>
          <w:sz w:val="20"/>
          <w:szCs w:val="20"/>
        </w:rPr>
        <w:t>20</w:t>
      </w:r>
      <w:r w:rsidRPr="006C2D36">
        <w:rPr>
          <w:sz w:val="20"/>
          <w:szCs w:val="20"/>
        </w:rPr>
        <w:t xml:space="preserve">, 2024, the Company received a </w:t>
      </w:r>
      <w:r>
        <w:rPr>
          <w:sz w:val="20"/>
          <w:szCs w:val="20"/>
        </w:rPr>
        <w:t>letter</w:t>
      </w:r>
      <w:r w:rsidRPr="006C2D36">
        <w:rPr>
          <w:sz w:val="20"/>
          <w:szCs w:val="20"/>
        </w:rPr>
        <w:t xml:space="preserve"> </w:t>
      </w:r>
      <w:r>
        <w:rPr>
          <w:sz w:val="20"/>
          <w:szCs w:val="20"/>
        </w:rPr>
        <w:t xml:space="preserve">(the “Letter”) </w:t>
      </w:r>
      <w:r w:rsidRPr="006C2D36">
        <w:rPr>
          <w:sz w:val="20"/>
          <w:szCs w:val="20"/>
        </w:rPr>
        <w:t xml:space="preserve">from the Listing Qualifications Department (the “Staff”) of the Nasdaq Stock Market LLC (“Nasdaq”) notifying the Company </w:t>
      </w:r>
      <w:r w:rsidRPr="00AE0BA4">
        <w:rPr>
          <w:sz w:val="20"/>
          <w:szCs w:val="20"/>
        </w:rPr>
        <w:t xml:space="preserve">that </w:t>
      </w:r>
      <w:r w:rsidR="00672A43" w:rsidRPr="00AE0BA4">
        <w:rPr>
          <w:sz w:val="20"/>
          <w:szCs w:val="20"/>
        </w:rPr>
        <w:t>it failed</w:t>
      </w:r>
      <w:r w:rsidRPr="00AE0BA4">
        <w:rPr>
          <w:sz w:val="20"/>
          <w:szCs w:val="20"/>
        </w:rPr>
        <w:t xml:space="preserve"> </w:t>
      </w:r>
      <w:r w:rsidR="00672A43" w:rsidRPr="00AE0BA4">
        <w:rPr>
          <w:sz w:val="20"/>
          <w:szCs w:val="20"/>
        </w:rPr>
        <w:t xml:space="preserve">to comply with Nasdaq’s shareholder approval requirements set forth in </w:t>
      </w:r>
      <w:r w:rsidRPr="00AE0BA4">
        <w:rPr>
          <w:sz w:val="20"/>
          <w:szCs w:val="20"/>
        </w:rPr>
        <w:t xml:space="preserve">Nasdaq </w:t>
      </w:r>
      <w:r w:rsidRPr="00AE0BA4">
        <w:rPr>
          <w:color w:val="000000"/>
          <w:sz w:val="20"/>
          <w:szCs w:val="20"/>
        </w:rPr>
        <w:t>Listing Rule 5635(d) (the “Rule”)</w:t>
      </w:r>
      <w:r w:rsidR="00AE0BA4" w:rsidRPr="00AE0BA4">
        <w:rPr>
          <w:sz w:val="20"/>
          <w:szCs w:val="20"/>
        </w:rPr>
        <w:t>, which requires prior shareholder approval for transactions, other than public offerings, involving the issuance of 20% or more of the pre-transaction shares outstanding at less than the Minimum Price</w:t>
      </w:r>
      <w:r w:rsidR="002F7E26">
        <w:rPr>
          <w:sz w:val="20"/>
          <w:szCs w:val="20"/>
        </w:rPr>
        <w:t xml:space="preserve"> (as defined in the Rule)</w:t>
      </w:r>
      <w:r w:rsidR="00AE0BA4">
        <w:rPr>
          <w:sz w:val="20"/>
          <w:szCs w:val="20"/>
        </w:rPr>
        <w:t xml:space="preserve">, </w:t>
      </w:r>
      <w:r>
        <w:rPr>
          <w:sz w:val="20"/>
          <w:szCs w:val="20"/>
        </w:rPr>
        <w:t xml:space="preserve">in connection with the Company’s private placement that closed on </w:t>
      </w:r>
      <w:r w:rsidRPr="006C2D36">
        <w:rPr>
          <w:color w:val="000000"/>
          <w:sz w:val="20"/>
          <w:szCs w:val="20"/>
        </w:rPr>
        <w:t>May 21, 2024</w:t>
      </w:r>
      <w:r>
        <w:rPr>
          <w:color w:val="000000"/>
          <w:sz w:val="20"/>
          <w:szCs w:val="20"/>
        </w:rPr>
        <w:t xml:space="preserve">.  The Letter </w:t>
      </w:r>
      <w:r w:rsidR="00AE0BA4">
        <w:rPr>
          <w:color w:val="000000"/>
          <w:sz w:val="20"/>
          <w:szCs w:val="20"/>
        </w:rPr>
        <w:t xml:space="preserve">also notified the Company of the </w:t>
      </w:r>
      <w:r>
        <w:rPr>
          <w:color w:val="000000"/>
          <w:sz w:val="20"/>
          <w:szCs w:val="20"/>
        </w:rPr>
        <w:t>Staff’s determination that the Company had remediated the deficiency and regained compliance with the Rule, and the matter is now closed, as further described herein.</w:t>
      </w:r>
    </w:p>
    <w:p w14:paraId="24B64E0E" w14:textId="77777777" w:rsidR="008131B0" w:rsidRDefault="008131B0" w:rsidP="008131B0">
      <w:pPr>
        <w:ind w:left="144" w:right="144"/>
        <w:jc w:val="both"/>
        <w:rPr>
          <w:color w:val="000000"/>
          <w:sz w:val="20"/>
          <w:szCs w:val="20"/>
        </w:rPr>
      </w:pPr>
    </w:p>
    <w:p w14:paraId="00DD2CE8" w14:textId="77777777" w:rsidR="008131B0" w:rsidRDefault="008131B0" w:rsidP="008131B0">
      <w:pPr>
        <w:ind w:left="144" w:right="144"/>
        <w:jc w:val="both"/>
        <w:rPr>
          <w:color w:val="000000"/>
          <w:sz w:val="20"/>
          <w:szCs w:val="20"/>
        </w:rPr>
      </w:pPr>
      <w:r>
        <w:rPr>
          <w:color w:val="000000"/>
          <w:sz w:val="20"/>
          <w:szCs w:val="20"/>
        </w:rPr>
        <w:t>Nasdaq’s Letter has no effect on the listing of the Company’s Common Stock (as defined below) on The Nasdaq Capital Market.</w:t>
      </w:r>
    </w:p>
    <w:p w14:paraId="40106E23" w14:textId="77777777" w:rsidR="008131B0" w:rsidRDefault="008131B0" w:rsidP="008131B0">
      <w:pPr>
        <w:ind w:left="144" w:right="144"/>
        <w:jc w:val="both"/>
        <w:rPr>
          <w:color w:val="000000"/>
          <w:sz w:val="20"/>
          <w:szCs w:val="20"/>
        </w:rPr>
      </w:pPr>
    </w:p>
    <w:p w14:paraId="7C315B64" w14:textId="4FEA2F88" w:rsidR="008131B0" w:rsidRDefault="004D75E4" w:rsidP="008131B0">
      <w:pPr>
        <w:ind w:left="144" w:right="144"/>
        <w:jc w:val="both"/>
        <w:rPr>
          <w:color w:val="000000"/>
          <w:sz w:val="20"/>
          <w:szCs w:val="20"/>
        </w:rPr>
      </w:pPr>
      <w:r w:rsidRPr="001D56BE">
        <w:rPr>
          <w:sz w:val="20"/>
          <w:szCs w:val="20"/>
        </w:rPr>
        <w:t xml:space="preserve">On May 16, 2024, the Company entered into a securities purchase agreement to issue $1.3 million in common stock and warrants (the “Offering”). The Offering included 802,844 shares of common stock and warrants </w:t>
      </w:r>
      <w:r>
        <w:rPr>
          <w:sz w:val="20"/>
          <w:szCs w:val="20"/>
        </w:rPr>
        <w:t xml:space="preserve">(the “Common Warrants”) </w:t>
      </w:r>
      <w:r w:rsidRPr="001D56BE">
        <w:rPr>
          <w:sz w:val="20"/>
          <w:szCs w:val="20"/>
        </w:rPr>
        <w:t xml:space="preserve">to purchase up to 1,605,688 shares of common stock (“Units”) at a price of $1.68 per Unit. The </w:t>
      </w:r>
      <w:r w:rsidR="004513BC">
        <w:rPr>
          <w:sz w:val="20"/>
          <w:szCs w:val="20"/>
        </w:rPr>
        <w:t>Nasdaq Official Closing Price (“</w:t>
      </w:r>
      <w:r w:rsidRPr="001D56BE">
        <w:rPr>
          <w:sz w:val="20"/>
          <w:szCs w:val="20"/>
        </w:rPr>
        <w:t>NOCP</w:t>
      </w:r>
      <w:r w:rsidR="004513BC">
        <w:rPr>
          <w:sz w:val="20"/>
          <w:szCs w:val="20"/>
        </w:rPr>
        <w:t>”)</w:t>
      </w:r>
      <w:r w:rsidRPr="001D56BE">
        <w:rPr>
          <w:sz w:val="20"/>
          <w:szCs w:val="20"/>
        </w:rPr>
        <w:t xml:space="preserve"> for </w:t>
      </w:r>
      <w:proofErr w:type="spellStart"/>
      <w:r w:rsidRPr="001D56BE">
        <w:rPr>
          <w:sz w:val="20"/>
          <w:szCs w:val="20"/>
        </w:rPr>
        <w:t>GeoVax</w:t>
      </w:r>
      <w:proofErr w:type="spellEnd"/>
      <w:r w:rsidRPr="001D56BE">
        <w:rPr>
          <w:sz w:val="20"/>
          <w:szCs w:val="20"/>
        </w:rPr>
        <w:t xml:space="preserve"> was $1.65 as of May 20, 2024, and the five-day average NOCP for the period then ended was $1.70. The Units were priced at $1.68; however, after attributing a value of $0.25, which represents 200% warrant coverage, the Minimum Price would need to be $1.90 per Unit.  When the Company </w:t>
      </w:r>
      <w:proofErr w:type="gramStart"/>
      <w:r w:rsidRPr="001D56BE">
        <w:rPr>
          <w:sz w:val="20"/>
          <w:szCs w:val="20"/>
        </w:rPr>
        <w:t>entered into</w:t>
      </w:r>
      <w:proofErr w:type="gramEnd"/>
      <w:r w:rsidRPr="001D56BE">
        <w:rPr>
          <w:sz w:val="20"/>
          <w:szCs w:val="20"/>
        </w:rPr>
        <w:t xml:space="preserve"> the Offering, the Company had 2,308,309 shares of common stock outstanding.  As such, the Offering represented a greater than 20% issuance of the common stock outstanding and was priced below the Minimum Price. </w:t>
      </w:r>
      <w:r>
        <w:rPr>
          <w:sz w:val="20"/>
          <w:szCs w:val="20"/>
        </w:rPr>
        <w:t xml:space="preserve"> </w:t>
      </w:r>
      <w:proofErr w:type="gramStart"/>
      <w:r w:rsidRPr="001D56BE">
        <w:rPr>
          <w:sz w:val="20"/>
          <w:szCs w:val="20"/>
        </w:rPr>
        <w:t>In light of</w:t>
      </w:r>
      <w:proofErr w:type="gramEnd"/>
      <w:r w:rsidRPr="001D56BE">
        <w:rPr>
          <w:sz w:val="20"/>
          <w:szCs w:val="20"/>
        </w:rPr>
        <w:t xml:space="preserve"> the foregoing, the Company was required to obtain prior shareholder approval under </w:t>
      </w:r>
      <w:r w:rsidR="00182CD8">
        <w:rPr>
          <w:sz w:val="20"/>
          <w:szCs w:val="20"/>
        </w:rPr>
        <w:t>the Rule</w:t>
      </w:r>
      <w:r w:rsidRPr="001D56BE">
        <w:rPr>
          <w:sz w:val="20"/>
          <w:szCs w:val="20"/>
        </w:rPr>
        <w:t>.</w:t>
      </w:r>
      <w:r>
        <w:rPr>
          <w:sz w:val="20"/>
          <w:szCs w:val="20"/>
        </w:rPr>
        <w:t xml:space="preserve">  </w:t>
      </w:r>
      <w:r w:rsidR="008131B0" w:rsidRPr="006C2D36">
        <w:rPr>
          <w:color w:val="000000"/>
          <w:sz w:val="20"/>
          <w:szCs w:val="20"/>
        </w:rPr>
        <w:t xml:space="preserve"> </w:t>
      </w:r>
    </w:p>
    <w:p w14:paraId="0C8C0EAE" w14:textId="77777777" w:rsidR="008131B0" w:rsidRDefault="008131B0" w:rsidP="008131B0">
      <w:pPr>
        <w:ind w:left="144" w:right="144"/>
        <w:jc w:val="both"/>
        <w:rPr>
          <w:color w:val="000000"/>
          <w:sz w:val="20"/>
          <w:szCs w:val="20"/>
        </w:rPr>
      </w:pPr>
    </w:p>
    <w:p w14:paraId="741BECB8" w14:textId="4536741E" w:rsidR="008131B0" w:rsidRDefault="008131B0" w:rsidP="008131B0">
      <w:pPr>
        <w:ind w:left="144" w:right="144"/>
        <w:jc w:val="both"/>
        <w:rPr>
          <w:color w:val="000000"/>
          <w:sz w:val="20"/>
          <w:szCs w:val="20"/>
        </w:rPr>
      </w:pPr>
      <w:r w:rsidRPr="006C2D36">
        <w:rPr>
          <w:color w:val="000000"/>
          <w:sz w:val="20"/>
          <w:szCs w:val="20"/>
        </w:rPr>
        <w:t xml:space="preserve">As disclosed in Item 3.03 of this Report, </w:t>
      </w:r>
      <w:r w:rsidR="004D75E4" w:rsidRPr="004D75E4">
        <w:rPr>
          <w:color w:val="000000"/>
          <w:sz w:val="20"/>
          <w:szCs w:val="20"/>
        </w:rPr>
        <w:t xml:space="preserve">on June 14, 2024, the </w:t>
      </w:r>
      <w:r w:rsidR="004D75E4">
        <w:rPr>
          <w:color w:val="000000"/>
          <w:sz w:val="20"/>
          <w:szCs w:val="20"/>
        </w:rPr>
        <w:t>Common Warrants</w:t>
      </w:r>
      <w:r w:rsidR="004D75E4" w:rsidRPr="004D75E4">
        <w:rPr>
          <w:color w:val="000000"/>
          <w:sz w:val="20"/>
          <w:szCs w:val="20"/>
        </w:rPr>
        <w:t xml:space="preserve"> were amended such that any exercise of the warrant is subject to shareholder approval, thereby eliminating the need to attribute any value to the </w:t>
      </w:r>
      <w:r w:rsidR="004D75E4">
        <w:rPr>
          <w:color w:val="000000"/>
          <w:sz w:val="20"/>
          <w:szCs w:val="20"/>
        </w:rPr>
        <w:t>Common Warrants</w:t>
      </w:r>
      <w:r w:rsidR="004D75E4" w:rsidRPr="004D75E4">
        <w:rPr>
          <w:color w:val="000000"/>
          <w:sz w:val="20"/>
          <w:szCs w:val="20"/>
        </w:rPr>
        <w:t>.  As a result, the purchase price in the Offering is above the Minimum Price.</w:t>
      </w:r>
      <w:r w:rsidRPr="006C2D36">
        <w:rPr>
          <w:color w:val="000000"/>
          <w:sz w:val="20"/>
          <w:szCs w:val="20"/>
        </w:rPr>
        <w:t xml:space="preserve"> </w:t>
      </w:r>
      <w:r>
        <w:rPr>
          <w:color w:val="000000"/>
          <w:sz w:val="20"/>
          <w:szCs w:val="20"/>
        </w:rPr>
        <w:t xml:space="preserve">Accordingly, the Staff has determined, that the Company </w:t>
      </w:r>
      <w:r w:rsidR="004D75E4">
        <w:rPr>
          <w:color w:val="000000"/>
          <w:sz w:val="20"/>
          <w:szCs w:val="20"/>
        </w:rPr>
        <w:t>complies</w:t>
      </w:r>
      <w:r>
        <w:rPr>
          <w:color w:val="000000"/>
          <w:sz w:val="20"/>
          <w:szCs w:val="20"/>
        </w:rPr>
        <w:t xml:space="preserve"> with the Rule and the matter is now closed.</w:t>
      </w:r>
    </w:p>
    <w:p w14:paraId="6E5541EE" w14:textId="77777777" w:rsidR="008131B0" w:rsidRDefault="008131B0" w:rsidP="008131B0">
      <w:pPr>
        <w:ind w:left="144" w:right="144"/>
        <w:jc w:val="both"/>
        <w:rPr>
          <w:color w:val="000000"/>
          <w:sz w:val="20"/>
          <w:szCs w:val="20"/>
        </w:rPr>
      </w:pPr>
    </w:p>
    <w:p w14:paraId="2E9C4269" w14:textId="65D7F5C7" w:rsidR="00F47904" w:rsidRPr="008131B0" w:rsidRDefault="008131B0" w:rsidP="008131B0">
      <w:pPr>
        <w:ind w:left="144" w:right="144"/>
        <w:jc w:val="both"/>
        <w:rPr>
          <w:color w:val="000000"/>
          <w:sz w:val="20"/>
          <w:szCs w:val="20"/>
        </w:rPr>
      </w:pPr>
      <w:r>
        <w:rPr>
          <w:color w:val="000000"/>
          <w:sz w:val="20"/>
          <w:szCs w:val="20"/>
        </w:rPr>
        <w:t>The Company, by filing this Form 8-K, discloses its receipt of the notification from Nasdaq in accordance with Nasdaq Listing Rule 5810(b)</w:t>
      </w:r>
    </w:p>
    <w:p w14:paraId="4093A1DE" w14:textId="77777777" w:rsidR="00F47904" w:rsidRPr="00266D46" w:rsidRDefault="00F47904" w:rsidP="00F9508E">
      <w:pPr>
        <w:ind w:left="144" w:right="144"/>
        <w:jc w:val="both"/>
        <w:rPr>
          <w:sz w:val="20"/>
          <w:szCs w:val="20"/>
        </w:rPr>
      </w:pPr>
    </w:p>
    <w:p w14:paraId="27539B9F" w14:textId="4BA29015" w:rsidR="00C524E3" w:rsidRPr="00266D46" w:rsidRDefault="00C524E3" w:rsidP="00C524E3">
      <w:pPr>
        <w:ind w:left="144" w:right="144"/>
        <w:jc w:val="both"/>
        <w:rPr>
          <w:sz w:val="20"/>
          <w:szCs w:val="20"/>
        </w:rPr>
      </w:pPr>
      <w:r w:rsidRPr="00266D46">
        <w:rPr>
          <w:b/>
          <w:bCs/>
          <w:sz w:val="20"/>
          <w:szCs w:val="20"/>
        </w:rPr>
        <w:t xml:space="preserve">Item </w:t>
      </w:r>
      <w:r w:rsidR="00BD31FD" w:rsidRPr="00266D46">
        <w:rPr>
          <w:b/>
          <w:bCs/>
          <w:sz w:val="20"/>
          <w:szCs w:val="20"/>
        </w:rPr>
        <w:t>3.</w:t>
      </w:r>
      <w:r w:rsidR="00E53277" w:rsidRPr="00266D46">
        <w:rPr>
          <w:b/>
          <w:bCs/>
          <w:sz w:val="20"/>
          <w:szCs w:val="20"/>
        </w:rPr>
        <w:t>03</w:t>
      </w:r>
      <w:r w:rsidR="00B55645" w:rsidRPr="00266D46">
        <w:rPr>
          <w:b/>
          <w:bCs/>
          <w:sz w:val="20"/>
          <w:szCs w:val="20"/>
        </w:rPr>
        <w:tab/>
      </w:r>
      <w:r w:rsidR="006F6E81" w:rsidRPr="00266D46">
        <w:rPr>
          <w:b/>
          <w:bCs/>
          <w:sz w:val="20"/>
          <w:szCs w:val="20"/>
        </w:rPr>
        <w:t>Material Modification to Rights of Security Holders</w:t>
      </w:r>
      <w:r w:rsidRPr="00266D46">
        <w:rPr>
          <w:b/>
          <w:bCs/>
          <w:sz w:val="20"/>
          <w:szCs w:val="20"/>
        </w:rPr>
        <w:t>.</w:t>
      </w:r>
    </w:p>
    <w:p w14:paraId="193E3A71" w14:textId="324C6DFF" w:rsidR="00DF2B44" w:rsidRPr="00266D46" w:rsidRDefault="00DF2B44" w:rsidP="00C524E3">
      <w:pPr>
        <w:ind w:left="144" w:right="144"/>
        <w:jc w:val="both"/>
        <w:rPr>
          <w:sz w:val="20"/>
          <w:szCs w:val="20"/>
        </w:rPr>
      </w:pPr>
    </w:p>
    <w:p w14:paraId="0A1B4A65" w14:textId="1A69D627" w:rsidR="006F6E81" w:rsidRDefault="006F6E81" w:rsidP="00F60403">
      <w:pPr>
        <w:pStyle w:val="NormalWeb"/>
        <w:spacing w:before="0" w:beforeAutospacing="0" w:after="0" w:afterAutospacing="0"/>
        <w:ind w:left="86"/>
        <w:jc w:val="both"/>
        <w:rPr>
          <w:color w:val="000000"/>
          <w:sz w:val="20"/>
          <w:szCs w:val="20"/>
        </w:rPr>
      </w:pPr>
      <w:r w:rsidRPr="00266D46">
        <w:rPr>
          <w:color w:val="000000"/>
          <w:sz w:val="20"/>
          <w:szCs w:val="20"/>
        </w:rPr>
        <w:t xml:space="preserve">On June 14, 2024, the Company entered a </w:t>
      </w:r>
      <w:r w:rsidR="00481FDD" w:rsidRPr="00266D46">
        <w:rPr>
          <w:color w:val="000000"/>
          <w:sz w:val="20"/>
          <w:szCs w:val="20"/>
        </w:rPr>
        <w:t xml:space="preserve">side letter with </w:t>
      </w:r>
      <w:r w:rsidR="003E56DD">
        <w:rPr>
          <w:color w:val="000000"/>
          <w:sz w:val="20"/>
          <w:szCs w:val="20"/>
        </w:rPr>
        <w:t>an institutional investor</w:t>
      </w:r>
      <w:r w:rsidR="00481FDD" w:rsidRPr="00266D46">
        <w:rPr>
          <w:color w:val="000000"/>
          <w:sz w:val="20"/>
          <w:szCs w:val="20"/>
        </w:rPr>
        <w:t xml:space="preserve"> (</w:t>
      </w:r>
      <w:r w:rsidR="003E56DD">
        <w:rPr>
          <w:color w:val="000000"/>
          <w:sz w:val="20"/>
          <w:szCs w:val="20"/>
        </w:rPr>
        <w:t>the “Investor</w:t>
      </w:r>
      <w:r w:rsidR="00481FDD" w:rsidRPr="00266D46">
        <w:rPr>
          <w:color w:val="000000"/>
          <w:sz w:val="20"/>
          <w:szCs w:val="20"/>
        </w:rPr>
        <w:t>”) dated June 14, 2024 (the “Side Letter”)</w:t>
      </w:r>
      <w:r w:rsidRPr="00266D46">
        <w:rPr>
          <w:color w:val="000000"/>
          <w:sz w:val="20"/>
          <w:szCs w:val="20"/>
        </w:rPr>
        <w:t xml:space="preserve"> to amend the Common Stock Purchase Warrant dated as of May 21, 2024 (the “Warrant”), issued by the Company to </w:t>
      </w:r>
      <w:r w:rsidR="003E56DD">
        <w:rPr>
          <w:color w:val="000000"/>
          <w:sz w:val="20"/>
          <w:szCs w:val="20"/>
        </w:rPr>
        <w:t>the Investor</w:t>
      </w:r>
      <w:r w:rsidRPr="00266D46">
        <w:rPr>
          <w:color w:val="000000"/>
          <w:sz w:val="20"/>
          <w:szCs w:val="20"/>
        </w:rPr>
        <w:t xml:space="preserve">, to amend the definition of “Initial Exercise Date” </w:t>
      </w:r>
      <w:r w:rsidR="00481FDD" w:rsidRPr="00266D46">
        <w:rPr>
          <w:color w:val="000000"/>
          <w:sz w:val="20"/>
          <w:szCs w:val="20"/>
        </w:rPr>
        <w:t>to</w:t>
      </w:r>
      <w:r w:rsidR="00A63148" w:rsidRPr="00266D46">
        <w:rPr>
          <w:color w:val="000000"/>
          <w:sz w:val="20"/>
          <w:szCs w:val="20"/>
        </w:rPr>
        <w:t xml:space="preserve"> be</w:t>
      </w:r>
      <w:r w:rsidRPr="00266D46">
        <w:rPr>
          <w:color w:val="000000"/>
          <w:sz w:val="20"/>
          <w:szCs w:val="20"/>
        </w:rPr>
        <w:t xml:space="preserve"> </w:t>
      </w:r>
      <w:r w:rsidR="00A63148" w:rsidRPr="00266D46">
        <w:rPr>
          <w:color w:val="000000"/>
          <w:sz w:val="20"/>
          <w:szCs w:val="20"/>
        </w:rPr>
        <w:t>“</w:t>
      </w:r>
      <w:r w:rsidR="00A63148" w:rsidRPr="00266D46">
        <w:rPr>
          <w:sz w:val="20"/>
          <w:szCs w:val="20"/>
        </w:rPr>
        <w:t xml:space="preserve">the date on which the approval, as required by the applicable rules and regulations of the Trading Market, </w:t>
      </w:r>
      <w:r w:rsidR="00A63148" w:rsidRPr="00266D46">
        <w:rPr>
          <w:color w:val="000000"/>
          <w:sz w:val="20"/>
          <w:szCs w:val="20"/>
        </w:rPr>
        <w:t>from the Company’s stockholders with respect to the issuance of this Warrant is obtained</w:t>
      </w:r>
      <w:r w:rsidRPr="00266D46">
        <w:rPr>
          <w:color w:val="000000"/>
          <w:sz w:val="20"/>
          <w:szCs w:val="20"/>
        </w:rPr>
        <w:t>.</w:t>
      </w:r>
      <w:r w:rsidR="00A63148" w:rsidRPr="00266D46">
        <w:rPr>
          <w:color w:val="000000"/>
          <w:sz w:val="20"/>
          <w:szCs w:val="20"/>
        </w:rPr>
        <w:t>”</w:t>
      </w:r>
    </w:p>
    <w:p w14:paraId="46363645" w14:textId="77777777" w:rsidR="00F60403" w:rsidRPr="00266D46" w:rsidRDefault="00F60403" w:rsidP="00F60403">
      <w:pPr>
        <w:pStyle w:val="NormalWeb"/>
        <w:spacing w:before="0" w:beforeAutospacing="0" w:after="0" w:afterAutospacing="0"/>
        <w:ind w:left="86"/>
        <w:jc w:val="both"/>
        <w:rPr>
          <w:color w:val="000000"/>
          <w:sz w:val="20"/>
          <w:szCs w:val="20"/>
        </w:rPr>
      </w:pPr>
    </w:p>
    <w:p w14:paraId="637EFEC5" w14:textId="3C61B471" w:rsidR="00C36B57" w:rsidRPr="00266D46" w:rsidRDefault="006F6E81" w:rsidP="00F60403">
      <w:pPr>
        <w:pStyle w:val="NormalWeb"/>
        <w:spacing w:before="0" w:beforeAutospacing="0" w:after="0" w:afterAutospacing="0"/>
        <w:ind w:left="86"/>
        <w:rPr>
          <w:color w:val="000000"/>
          <w:sz w:val="20"/>
          <w:szCs w:val="20"/>
        </w:rPr>
      </w:pPr>
      <w:r w:rsidRPr="00266D46">
        <w:rPr>
          <w:color w:val="000000"/>
          <w:sz w:val="20"/>
          <w:szCs w:val="20"/>
        </w:rPr>
        <w:t>The foregoing description of the</w:t>
      </w:r>
      <w:r w:rsidR="00481FDD" w:rsidRPr="00266D46">
        <w:rPr>
          <w:color w:val="000000"/>
          <w:sz w:val="20"/>
          <w:szCs w:val="20"/>
        </w:rPr>
        <w:t xml:space="preserve"> Side Letter</w:t>
      </w:r>
      <w:r w:rsidRPr="00266D46">
        <w:rPr>
          <w:color w:val="000000"/>
          <w:sz w:val="20"/>
          <w:szCs w:val="20"/>
        </w:rPr>
        <w:t xml:space="preserve"> is qualified in its entirety by reference to the </w:t>
      </w:r>
      <w:r w:rsidR="00FB2838" w:rsidRPr="00266D46">
        <w:rPr>
          <w:color w:val="000000"/>
          <w:sz w:val="20"/>
          <w:szCs w:val="20"/>
        </w:rPr>
        <w:t xml:space="preserve">Side Letter, </w:t>
      </w:r>
      <w:r w:rsidRPr="00266D46">
        <w:rPr>
          <w:color w:val="000000"/>
          <w:sz w:val="20"/>
          <w:szCs w:val="20"/>
        </w:rPr>
        <w:t xml:space="preserve">which is attached as </w:t>
      </w:r>
      <w:r w:rsidR="00485F52" w:rsidRPr="00266D46">
        <w:rPr>
          <w:color w:val="000000"/>
          <w:sz w:val="20"/>
          <w:szCs w:val="20"/>
        </w:rPr>
        <w:t>Exhibit 4.1 attached</w:t>
      </w:r>
      <w:r w:rsidRPr="00266D46">
        <w:rPr>
          <w:color w:val="000000"/>
          <w:sz w:val="20"/>
          <w:szCs w:val="20"/>
        </w:rPr>
        <w:t xml:space="preserve"> hereto and incorporated by reference herein.</w:t>
      </w:r>
    </w:p>
    <w:p w14:paraId="0B402D6C" w14:textId="77777777" w:rsidR="00485F52" w:rsidRPr="00266D46" w:rsidRDefault="00485F52" w:rsidP="00F60403">
      <w:pPr>
        <w:pStyle w:val="NormalWeb"/>
        <w:spacing w:before="0" w:beforeAutospacing="0" w:after="0" w:afterAutospacing="0"/>
        <w:ind w:left="90"/>
        <w:rPr>
          <w:b/>
          <w:bCs/>
          <w:sz w:val="20"/>
          <w:szCs w:val="20"/>
        </w:rPr>
      </w:pPr>
    </w:p>
    <w:tbl>
      <w:tblPr>
        <w:tblW w:w="12240" w:type="dxa"/>
        <w:tblCellMar>
          <w:left w:w="0" w:type="dxa"/>
          <w:right w:w="0" w:type="dxa"/>
        </w:tblCellMar>
        <w:tblLook w:val="04A0" w:firstRow="1" w:lastRow="0" w:firstColumn="1" w:lastColumn="0" w:noHBand="0" w:noVBand="1"/>
      </w:tblPr>
      <w:tblGrid>
        <w:gridCol w:w="1346"/>
        <w:gridCol w:w="10894"/>
      </w:tblGrid>
      <w:tr w:rsidR="006467DB" w:rsidRPr="00266D46" w14:paraId="77E7ED07" w14:textId="77777777" w:rsidTr="006467DB">
        <w:tc>
          <w:tcPr>
            <w:tcW w:w="1346" w:type="dxa"/>
            <w:hideMark/>
          </w:tcPr>
          <w:p w14:paraId="74FB48E0" w14:textId="77777777" w:rsidR="006467DB" w:rsidRPr="00266D46" w:rsidRDefault="006467DB" w:rsidP="00F60403">
            <w:pPr>
              <w:ind w:left="90"/>
              <w:rPr>
                <w:sz w:val="20"/>
                <w:szCs w:val="20"/>
              </w:rPr>
            </w:pPr>
            <w:r w:rsidRPr="00266D46">
              <w:rPr>
                <w:b/>
                <w:bCs/>
                <w:sz w:val="20"/>
                <w:szCs w:val="20"/>
              </w:rPr>
              <w:t>Item 9.01</w:t>
            </w:r>
          </w:p>
        </w:tc>
        <w:tc>
          <w:tcPr>
            <w:tcW w:w="0" w:type="auto"/>
            <w:hideMark/>
          </w:tcPr>
          <w:p w14:paraId="6727AB6A" w14:textId="77777777" w:rsidR="006467DB" w:rsidRPr="00266D46" w:rsidRDefault="006467DB" w:rsidP="00F60403">
            <w:pPr>
              <w:pStyle w:val="NormalWeb"/>
              <w:spacing w:before="0" w:beforeAutospacing="0" w:after="0" w:afterAutospacing="0"/>
              <w:ind w:left="90"/>
              <w:rPr>
                <w:b/>
                <w:bCs/>
                <w:sz w:val="20"/>
                <w:szCs w:val="20"/>
              </w:rPr>
            </w:pPr>
            <w:r w:rsidRPr="00266D46">
              <w:rPr>
                <w:b/>
                <w:bCs/>
                <w:sz w:val="20"/>
                <w:szCs w:val="20"/>
              </w:rPr>
              <w:t>Financial Statements and Exhibits</w:t>
            </w:r>
          </w:p>
        </w:tc>
      </w:tr>
    </w:tbl>
    <w:p w14:paraId="177D187C" w14:textId="77777777" w:rsidR="006467DB" w:rsidRDefault="006467DB" w:rsidP="00F60403">
      <w:pPr>
        <w:pStyle w:val="NormalWeb"/>
        <w:spacing w:before="120" w:beforeAutospacing="0" w:after="0" w:afterAutospacing="0"/>
        <w:ind w:left="90"/>
        <w:rPr>
          <w:b/>
          <w:bCs/>
          <w:color w:val="000000"/>
          <w:sz w:val="20"/>
          <w:szCs w:val="20"/>
        </w:rPr>
      </w:pPr>
      <w:r>
        <w:rPr>
          <w:b/>
          <w:bCs/>
          <w:i/>
          <w:iCs/>
          <w:color w:val="000000"/>
          <w:sz w:val="20"/>
          <w:szCs w:val="20"/>
        </w:rPr>
        <w:t>(d) Exhibits.</w:t>
      </w:r>
    </w:p>
    <w:p w14:paraId="3521191A" w14:textId="77777777" w:rsidR="006467DB" w:rsidRDefault="006467DB" w:rsidP="00F60403">
      <w:pPr>
        <w:pStyle w:val="NormalWeb"/>
        <w:spacing w:before="0" w:beforeAutospacing="0" w:after="0" w:afterAutospacing="0"/>
        <w:ind w:left="90"/>
        <w:rPr>
          <w:color w:val="000000"/>
        </w:rPr>
      </w:pPr>
      <w:r>
        <w:rPr>
          <w:color w:val="000000"/>
        </w:rPr>
        <w:t> </w:t>
      </w:r>
    </w:p>
    <w:tbl>
      <w:tblPr>
        <w:tblW w:w="10080" w:type="dxa"/>
        <w:tblCellMar>
          <w:left w:w="0" w:type="dxa"/>
          <w:right w:w="0" w:type="dxa"/>
        </w:tblCellMar>
        <w:tblLook w:val="04A0" w:firstRow="1" w:lastRow="0" w:firstColumn="1" w:lastColumn="0" w:noHBand="0" w:noVBand="1"/>
      </w:tblPr>
      <w:tblGrid>
        <w:gridCol w:w="830"/>
        <w:gridCol w:w="195"/>
        <w:gridCol w:w="9055"/>
      </w:tblGrid>
      <w:tr w:rsidR="006467DB" w14:paraId="57B46BCD" w14:textId="77777777" w:rsidTr="006467DB">
        <w:tc>
          <w:tcPr>
            <w:tcW w:w="0" w:type="auto"/>
            <w:noWrap/>
            <w:vAlign w:val="bottom"/>
            <w:hideMark/>
          </w:tcPr>
          <w:p w14:paraId="6D65925F" w14:textId="77777777" w:rsidR="006467DB" w:rsidRDefault="006467DB" w:rsidP="00F60403">
            <w:pPr>
              <w:pStyle w:val="NormalWeb"/>
              <w:spacing w:before="0" w:beforeAutospacing="0" w:after="0" w:afterAutospacing="0"/>
              <w:ind w:left="90"/>
              <w:jc w:val="center"/>
              <w:rPr>
                <w:b/>
                <w:bCs/>
                <w:sz w:val="16"/>
                <w:szCs w:val="16"/>
              </w:rPr>
            </w:pPr>
            <w:r>
              <w:rPr>
                <w:b/>
                <w:bCs/>
                <w:sz w:val="16"/>
                <w:szCs w:val="16"/>
              </w:rPr>
              <w:t>Exhibit</w:t>
            </w:r>
          </w:p>
          <w:p w14:paraId="6CAD27FE" w14:textId="77777777" w:rsidR="006467DB" w:rsidRDefault="006467DB" w:rsidP="00F60403">
            <w:pPr>
              <w:pStyle w:val="NormalWeb"/>
              <w:pBdr>
                <w:bottom w:val="single" w:sz="8" w:space="0" w:color="000000"/>
              </w:pBdr>
              <w:spacing w:before="0" w:beforeAutospacing="0" w:after="20" w:afterAutospacing="0"/>
              <w:ind w:left="90"/>
              <w:jc w:val="center"/>
              <w:rPr>
                <w:b/>
                <w:bCs/>
                <w:sz w:val="16"/>
                <w:szCs w:val="16"/>
              </w:rPr>
            </w:pPr>
            <w:r>
              <w:rPr>
                <w:b/>
                <w:bCs/>
                <w:sz w:val="16"/>
                <w:szCs w:val="16"/>
              </w:rPr>
              <w:t> </w:t>
            </w:r>
            <w:r>
              <w:rPr>
                <w:b/>
                <w:bCs/>
                <w:sz w:val="16"/>
                <w:szCs w:val="16"/>
              </w:rPr>
              <w:t>No.</w:t>
            </w:r>
            <w:r>
              <w:rPr>
                <w:b/>
                <w:bCs/>
                <w:sz w:val="16"/>
                <w:szCs w:val="16"/>
              </w:rPr>
              <w:t> </w:t>
            </w:r>
          </w:p>
        </w:tc>
        <w:tc>
          <w:tcPr>
            <w:tcW w:w="0" w:type="auto"/>
            <w:vAlign w:val="bottom"/>
            <w:hideMark/>
          </w:tcPr>
          <w:p w14:paraId="49E42140" w14:textId="77777777" w:rsidR="006467DB" w:rsidRDefault="006467DB" w:rsidP="00F60403">
            <w:pPr>
              <w:ind w:left="90"/>
              <w:rPr>
                <w:sz w:val="16"/>
                <w:szCs w:val="16"/>
              </w:rPr>
            </w:pPr>
            <w:r>
              <w:rPr>
                <w:sz w:val="16"/>
                <w:szCs w:val="16"/>
              </w:rPr>
              <w:t> </w:t>
            </w:r>
          </w:p>
        </w:tc>
        <w:tc>
          <w:tcPr>
            <w:tcW w:w="0" w:type="auto"/>
            <w:noWrap/>
            <w:vAlign w:val="bottom"/>
            <w:hideMark/>
          </w:tcPr>
          <w:p w14:paraId="4FDC7655" w14:textId="77777777" w:rsidR="006467DB" w:rsidRDefault="006467DB" w:rsidP="00F60403">
            <w:pPr>
              <w:pStyle w:val="NormalWeb"/>
              <w:pBdr>
                <w:bottom w:val="single" w:sz="8" w:space="0" w:color="000000"/>
              </w:pBdr>
              <w:spacing w:before="0" w:beforeAutospacing="0" w:after="0" w:afterAutospacing="0"/>
              <w:ind w:left="90"/>
              <w:jc w:val="center"/>
              <w:rPr>
                <w:b/>
                <w:bCs/>
                <w:sz w:val="16"/>
                <w:szCs w:val="16"/>
              </w:rPr>
            </w:pPr>
            <w:r>
              <w:rPr>
                <w:b/>
                <w:bCs/>
                <w:sz w:val="16"/>
                <w:szCs w:val="16"/>
              </w:rPr>
              <w:t>Description</w:t>
            </w:r>
          </w:p>
        </w:tc>
      </w:tr>
      <w:tr w:rsidR="006467DB" w14:paraId="5311FB10" w14:textId="77777777" w:rsidTr="006467DB">
        <w:trPr>
          <w:trHeight w:val="120"/>
        </w:trPr>
        <w:tc>
          <w:tcPr>
            <w:tcW w:w="0" w:type="auto"/>
            <w:vAlign w:val="center"/>
            <w:hideMark/>
          </w:tcPr>
          <w:p w14:paraId="3F9877E8" w14:textId="77777777" w:rsidR="006467DB" w:rsidRDefault="006467DB" w:rsidP="00F60403">
            <w:pPr>
              <w:ind w:left="90"/>
              <w:rPr>
                <w:b/>
                <w:bCs/>
                <w:sz w:val="16"/>
                <w:szCs w:val="16"/>
              </w:rPr>
            </w:pPr>
          </w:p>
        </w:tc>
        <w:tc>
          <w:tcPr>
            <w:tcW w:w="0" w:type="auto"/>
            <w:gridSpan w:val="2"/>
            <w:vAlign w:val="center"/>
            <w:hideMark/>
          </w:tcPr>
          <w:p w14:paraId="573CD05A" w14:textId="77777777" w:rsidR="006467DB" w:rsidRDefault="006467DB" w:rsidP="00F60403">
            <w:pPr>
              <w:ind w:left="90"/>
              <w:rPr>
                <w:sz w:val="20"/>
                <w:szCs w:val="20"/>
              </w:rPr>
            </w:pPr>
          </w:p>
        </w:tc>
      </w:tr>
      <w:tr w:rsidR="006467DB" w14:paraId="2B7C0699" w14:textId="77777777" w:rsidTr="006467DB">
        <w:tc>
          <w:tcPr>
            <w:tcW w:w="0" w:type="auto"/>
            <w:noWrap/>
            <w:hideMark/>
          </w:tcPr>
          <w:p w14:paraId="73D98401" w14:textId="0A970A94" w:rsidR="006467DB" w:rsidRDefault="006467DB" w:rsidP="00F60403">
            <w:pPr>
              <w:ind w:left="90"/>
              <w:rPr>
                <w:sz w:val="20"/>
                <w:szCs w:val="20"/>
              </w:rPr>
            </w:pPr>
            <w:r>
              <w:rPr>
                <w:sz w:val="20"/>
                <w:szCs w:val="20"/>
              </w:rPr>
              <w:t>4.1</w:t>
            </w:r>
          </w:p>
        </w:tc>
        <w:tc>
          <w:tcPr>
            <w:tcW w:w="0" w:type="auto"/>
            <w:vAlign w:val="bottom"/>
            <w:hideMark/>
          </w:tcPr>
          <w:p w14:paraId="7AAA097B" w14:textId="77777777" w:rsidR="006467DB" w:rsidRDefault="006467DB" w:rsidP="00F60403">
            <w:pPr>
              <w:ind w:left="90"/>
              <w:rPr>
                <w:sz w:val="20"/>
                <w:szCs w:val="20"/>
              </w:rPr>
            </w:pPr>
            <w:r>
              <w:rPr>
                <w:sz w:val="20"/>
                <w:szCs w:val="20"/>
              </w:rPr>
              <w:t> </w:t>
            </w:r>
          </w:p>
        </w:tc>
        <w:tc>
          <w:tcPr>
            <w:tcW w:w="0" w:type="auto"/>
            <w:hideMark/>
          </w:tcPr>
          <w:p w14:paraId="683A9BE8" w14:textId="00846469" w:rsidR="006467DB" w:rsidRDefault="006467DB" w:rsidP="00F60403">
            <w:pPr>
              <w:ind w:left="90"/>
              <w:rPr>
                <w:sz w:val="20"/>
                <w:szCs w:val="20"/>
              </w:rPr>
            </w:pPr>
            <w:r w:rsidRPr="006467DB">
              <w:rPr>
                <w:sz w:val="20"/>
                <w:szCs w:val="20"/>
              </w:rPr>
              <w:t>Side</w:t>
            </w:r>
            <w:r>
              <w:rPr>
                <w:sz w:val="20"/>
                <w:szCs w:val="20"/>
              </w:rPr>
              <w:t xml:space="preserve"> Letter dated June 14, 2024, by and between the Company and </w:t>
            </w:r>
            <w:r w:rsidR="003E56DD">
              <w:rPr>
                <w:sz w:val="20"/>
                <w:szCs w:val="20"/>
              </w:rPr>
              <w:t>the Investor</w:t>
            </w:r>
          </w:p>
        </w:tc>
      </w:tr>
      <w:tr w:rsidR="00F60403" w14:paraId="44FE36AB" w14:textId="77777777" w:rsidTr="00F60403">
        <w:tc>
          <w:tcPr>
            <w:tcW w:w="0" w:type="auto"/>
            <w:noWrap/>
            <w:hideMark/>
          </w:tcPr>
          <w:p w14:paraId="5B8CA595" w14:textId="77777777" w:rsidR="00F60403" w:rsidRDefault="00F60403" w:rsidP="00F60403">
            <w:pPr>
              <w:ind w:left="90"/>
              <w:rPr>
                <w:sz w:val="20"/>
                <w:szCs w:val="20"/>
              </w:rPr>
            </w:pPr>
            <w:r>
              <w:rPr>
                <w:sz w:val="20"/>
                <w:szCs w:val="20"/>
              </w:rPr>
              <w:t>104</w:t>
            </w:r>
          </w:p>
        </w:tc>
        <w:tc>
          <w:tcPr>
            <w:tcW w:w="0" w:type="auto"/>
            <w:vAlign w:val="bottom"/>
            <w:hideMark/>
          </w:tcPr>
          <w:p w14:paraId="3DB939A5" w14:textId="77777777" w:rsidR="00F60403" w:rsidRDefault="00F60403" w:rsidP="00F60403">
            <w:pPr>
              <w:ind w:left="90"/>
              <w:rPr>
                <w:sz w:val="20"/>
                <w:szCs w:val="20"/>
              </w:rPr>
            </w:pPr>
          </w:p>
        </w:tc>
        <w:tc>
          <w:tcPr>
            <w:tcW w:w="0" w:type="auto"/>
            <w:hideMark/>
          </w:tcPr>
          <w:p w14:paraId="05E533BB" w14:textId="77777777" w:rsidR="00F60403" w:rsidRPr="006467DB" w:rsidRDefault="00F60403" w:rsidP="00F60403">
            <w:pPr>
              <w:ind w:left="90"/>
              <w:rPr>
                <w:sz w:val="20"/>
                <w:szCs w:val="20"/>
              </w:rPr>
            </w:pPr>
            <w:r>
              <w:rPr>
                <w:sz w:val="20"/>
                <w:szCs w:val="20"/>
              </w:rPr>
              <w:t>Cover Page Interactive Data File (embedded within the Inline XBRL document)</w:t>
            </w:r>
          </w:p>
        </w:tc>
      </w:tr>
    </w:tbl>
    <w:p w14:paraId="528D692D" w14:textId="77777777" w:rsidR="006467DB" w:rsidRDefault="006467DB" w:rsidP="004513BC">
      <w:pPr>
        <w:pStyle w:val="NormalWeb"/>
        <w:spacing w:before="240" w:beforeAutospacing="0" w:after="0" w:afterAutospacing="0"/>
        <w:rPr>
          <w:b/>
          <w:bCs/>
          <w:sz w:val="20"/>
          <w:szCs w:val="20"/>
        </w:rPr>
      </w:pPr>
    </w:p>
    <w:p w14:paraId="7F943D3B" w14:textId="4471F98A" w:rsidR="008D7E3A" w:rsidRDefault="008D7E3A" w:rsidP="008D7E3A">
      <w:pPr>
        <w:ind w:left="144" w:right="144"/>
        <w:jc w:val="center"/>
        <w:rPr>
          <w:sz w:val="20"/>
          <w:szCs w:val="20"/>
        </w:rPr>
      </w:pPr>
      <w:r>
        <w:rPr>
          <w:b/>
          <w:bCs/>
          <w:sz w:val="20"/>
          <w:szCs w:val="20"/>
        </w:rPr>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4FB7437A" w:rsidR="008D7E3A" w:rsidRDefault="008D7E3A" w:rsidP="008D7E3A">
      <w:pPr>
        <w:ind w:left="144" w:right="144"/>
        <w:rPr>
          <w:sz w:val="20"/>
          <w:szCs w:val="20"/>
        </w:rPr>
      </w:pPr>
      <w:r>
        <w:rPr>
          <w:sz w:val="20"/>
          <w:szCs w:val="20"/>
        </w:rPr>
        <w:t xml:space="preserve">Date: </w:t>
      </w:r>
      <w:r w:rsidR="00485F52">
        <w:rPr>
          <w:sz w:val="20"/>
          <w:szCs w:val="20"/>
        </w:rPr>
        <w:t xml:space="preserve">June </w:t>
      </w:r>
      <w:r w:rsidR="00314CAF">
        <w:rPr>
          <w:sz w:val="20"/>
          <w:szCs w:val="20"/>
        </w:rPr>
        <w:t>21</w:t>
      </w:r>
      <w:r w:rsidR="00485F52">
        <w:rPr>
          <w:sz w:val="20"/>
          <w:szCs w:val="20"/>
        </w:rPr>
        <w:t>,</w:t>
      </w:r>
      <w:r w:rsidR="007F74E8">
        <w:rPr>
          <w:sz w:val="20"/>
          <w:szCs w:val="20"/>
        </w:rPr>
        <w:t xml:space="preserve"> 202</w:t>
      </w:r>
      <w:r w:rsidR="00E42F05">
        <w:rPr>
          <w:sz w:val="20"/>
          <w:szCs w:val="20"/>
        </w:rPr>
        <w:t>4</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53D46959" w:rsidR="008D7E3A" w:rsidRDefault="002A1A41">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2B519A86" w14:textId="2381A9CF" w:rsidR="004B3179" w:rsidRPr="008D7E3A" w:rsidRDefault="004B3179" w:rsidP="008D7E3A"/>
    <w:sectPr w:rsidR="004B3179" w:rsidRPr="008D7E3A">
      <w:footerReference w:type="default" r:id="rId8"/>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B9611" w14:textId="77777777" w:rsidR="00EC451C" w:rsidRDefault="00EC451C" w:rsidP="004422FB">
      <w:r>
        <w:separator/>
      </w:r>
    </w:p>
  </w:endnote>
  <w:endnote w:type="continuationSeparator" w:id="0">
    <w:p w14:paraId="10A4BB65" w14:textId="77777777" w:rsidR="00EC451C" w:rsidRDefault="00EC451C"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9915" w14:textId="0965AE6D" w:rsidR="004422FB" w:rsidRDefault="00A7489D" w:rsidP="00A7489D">
    <w:pPr>
      <w:pStyle w:val="Footer"/>
      <w:jc w:val="center"/>
    </w:pPr>
    <w:r>
      <w:fldChar w:fldCharType="begin"/>
    </w:r>
    <w:r>
      <w:instrText xml:space="preserve"> PAGE   \* MERGEFORMAT </w:instrText>
    </w:r>
    <w:r>
      <w:fldChar w:fldCharType="separate"/>
    </w:r>
    <w:r w:rsidR="00F51C02">
      <w:rPr>
        <w:noProof/>
      </w:rPr>
      <w:t>4</w:t>
    </w:r>
    <w:r>
      <w:rPr>
        <w:noProof/>
      </w:rPr>
      <w:fldChar w:fldCharType="end"/>
    </w:r>
  </w:p>
  <w:p w14:paraId="22F65163" w14:textId="77777777" w:rsidR="008A5F28" w:rsidRDefault="008A5F28" w:rsidP="004422FB">
    <w:pPr>
      <w:pStyle w:val="Footer"/>
    </w:pPr>
  </w:p>
  <w:p w14:paraId="00D1A497" w14:textId="1D4A7FB1" w:rsidR="004422FB" w:rsidRDefault="004422FB" w:rsidP="008A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0B167" w14:textId="77777777" w:rsidR="00EC451C" w:rsidRDefault="00EC451C" w:rsidP="004422FB">
      <w:r>
        <w:separator/>
      </w:r>
    </w:p>
  </w:footnote>
  <w:footnote w:type="continuationSeparator" w:id="0">
    <w:p w14:paraId="65621C0F" w14:textId="77777777" w:rsidR="00EC451C" w:rsidRDefault="00EC451C" w:rsidP="00442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666302">
    <w:abstractNumId w:val="0"/>
  </w:num>
  <w:num w:numId="2" w16cid:durableId="835850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4B3179"/>
    <w:rsid w:val="000039E8"/>
    <w:rsid w:val="0003363C"/>
    <w:rsid w:val="00051FBD"/>
    <w:rsid w:val="000520F7"/>
    <w:rsid w:val="000850CC"/>
    <w:rsid w:val="00086EE4"/>
    <w:rsid w:val="000871C8"/>
    <w:rsid w:val="00087359"/>
    <w:rsid w:val="000949A2"/>
    <w:rsid w:val="00096511"/>
    <w:rsid w:val="000C4C85"/>
    <w:rsid w:val="000E6508"/>
    <w:rsid w:val="001139A5"/>
    <w:rsid w:val="00115127"/>
    <w:rsid w:val="001220EE"/>
    <w:rsid w:val="0012601A"/>
    <w:rsid w:val="00134BBC"/>
    <w:rsid w:val="001363AD"/>
    <w:rsid w:val="00137DCB"/>
    <w:rsid w:val="00157929"/>
    <w:rsid w:val="00172B54"/>
    <w:rsid w:val="00182CD8"/>
    <w:rsid w:val="0019489B"/>
    <w:rsid w:val="00196A86"/>
    <w:rsid w:val="001A0FE2"/>
    <w:rsid w:val="001A5BA8"/>
    <w:rsid w:val="001A687F"/>
    <w:rsid w:val="001B126A"/>
    <w:rsid w:val="001D3520"/>
    <w:rsid w:val="001E2AA8"/>
    <w:rsid w:val="001E5F78"/>
    <w:rsid w:val="001E73D7"/>
    <w:rsid w:val="002049D0"/>
    <w:rsid w:val="0024362A"/>
    <w:rsid w:val="00246139"/>
    <w:rsid w:val="002535D4"/>
    <w:rsid w:val="00266D46"/>
    <w:rsid w:val="00277674"/>
    <w:rsid w:val="00280DC1"/>
    <w:rsid w:val="002832B4"/>
    <w:rsid w:val="00296BF7"/>
    <w:rsid w:val="002A1A41"/>
    <w:rsid w:val="002A45C0"/>
    <w:rsid w:val="002B5A3E"/>
    <w:rsid w:val="002C2032"/>
    <w:rsid w:val="002C4E4A"/>
    <w:rsid w:val="002D1821"/>
    <w:rsid w:val="002E60D1"/>
    <w:rsid w:val="002F7E26"/>
    <w:rsid w:val="00304DE8"/>
    <w:rsid w:val="00314CAF"/>
    <w:rsid w:val="00314FC4"/>
    <w:rsid w:val="00315CD1"/>
    <w:rsid w:val="00341E48"/>
    <w:rsid w:val="003454FA"/>
    <w:rsid w:val="0034645B"/>
    <w:rsid w:val="00362F3D"/>
    <w:rsid w:val="0036369E"/>
    <w:rsid w:val="00366C53"/>
    <w:rsid w:val="00376DEC"/>
    <w:rsid w:val="0037743D"/>
    <w:rsid w:val="00391C77"/>
    <w:rsid w:val="003A0B95"/>
    <w:rsid w:val="003B670F"/>
    <w:rsid w:val="003E36C4"/>
    <w:rsid w:val="003E56DD"/>
    <w:rsid w:val="003F0C29"/>
    <w:rsid w:val="003F682F"/>
    <w:rsid w:val="00401F33"/>
    <w:rsid w:val="004041FE"/>
    <w:rsid w:val="00404B0F"/>
    <w:rsid w:val="00415B30"/>
    <w:rsid w:val="0043642A"/>
    <w:rsid w:val="00441DE3"/>
    <w:rsid w:val="004422FB"/>
    <w:rsid w:val="00447E65"/>
    <w:rsid w:val="00450C86"/>
    <w:rsid w:val="004513BC"/>
    <w:rsid w:val="00453E83"/>
    <w:rsid w:val="004562CE"/>
    <w:rsid w:val="00461336"/>
    <w:rsid w:val="004759D1"/>
    <w:rsid w:val="00475B4D"/>
    <w:rsid w:val="00481FDD"/>
    <w:rsid w:val="00485F52"/>
    <w:rsid w:val="00494777"/>
    <w:rsid w:val="004A1AD3"/>
    <w:rsid w:val="004B3179"/>
    <w:rsid w:val="004B548D"/>
    <w:rsid w:val="004D4E0A"/>
    <w:rsid w:val="004D75E4"/>
    <w:rsid w:val="004E6CB9"/>
    <w:rsid w:val="004E7E6E"/>
    <w:rsid w:val="005108D6"/>
    <w:rsid w:val="00526107"/>
    <w:rsid w:val="0053687C"/>
    <w:rsid w:val="005449BB"/>
    <w:rsid w:val="0054576E"/>
    <w:rsid w:val="00552D47"/>
    <w:rsid w:val="0055647C"/>
    <w:rsid w:val="005765ED"/>
    <w:rsid w:val="00583D37"/>
    <w:rsid w:val="00587D9F"/>
    <w:rsid w:val="005A0848"/>
    <w:rsid w:val="005A12FB"/>
    <w:rsid w:val="005B311B"/>
    <w:rsid w:val="005B70A9"/>
    <w:rsid w:val="005F3C3F"/>
    <w:rsid w:val="00617074"/>
    <w:rsid w:val="00617423"/>
    <w:rsid w:val="00625417"/>
    <w:rsid w:val="0064372F"/>
    <w:rsid w:val="006467DB"/>
    <w:rsid w:val="00651320"/>
    <w:rsid w:val="00652DCC"/>
    <w:rsid w:val="00654112"/>
    <w:rsid w:val="00670AD9"/>
    <w:rsid w:val="00672A43"/>
    <w:rsid w:val="00677F25"/>
    <w:rsid w:val="00691497"/>
    <w:rsid w:val="00691E45"/>
    <w:rsid w:val="0069601B"/>
    <w:rsid w:val="006A30B4"/>
    <w:rsid w:val="006B4011"/>
    <w:rsid w:val="006C4831"/>
    <w:rsid w:val="006C673A"/>
    <w:rsid w:val="006E51BD"/>
    <w:rsid w:val="006E7AA3"/>
    <w:rsid w:val="006F2242"/>
    <w:rsid w:val="006F6E81"/>
    <w:rsid w:val="006F78DC"/>
    <w:rsid w:val="007150B5"/>
    <w:rsid w:val="00716A75"/>
    <w:rsid w:val="00722856"/>
    <w:rsid w:val="00732183"/>
    <w:rsid w:val="00734084"/>
    <w:rsid w:val="007578ED"/>
    <w:rsid w:val="00766EB9"/>
    <w:rsid w:val="00780E12"/>
    <w:rsid w:val="00797D8A"/>
    <w:rsid w:val="007B3B3E"/>
    <w:rsid w:val="007B5113"/>
    <w:rsid w:val="007C3C4A"/>
    <w:rsid w:val="007C6FBC"/>
    <w:rsid w:val="007F4493"/>
    <w:rsid w:val="007F74E8"/>
    <w:rsid w:val="008131B0"/>
    <w:rsid w:val="0082793A"/>
    <w:rsid w:val="00883B50"/>
    <w:rsid w:val="0089446A"/>
    <w:rsid w:val="008A5F28"/>
    <w:rsid w:val="008A74A9"/>
    <w:rsid w:val="008A7A20"/>
    <w:rsid w:val="008B66AE"/>
    <w:rsid w:val="008B71BC"/>
    <w:rsid w:val="008B7616"/>
    <w:rsid w:val="008C1C3D"/>
    <w:rsid w:val="008D3E76"/>
    <w:rsid w:val="008D7E3A"/>
    <w:rsid w:val="008E0265"/>
    <w:rsid w:val="008E4E77"/>
    <w:rsid w:val="00903941"/>
    <w:rsid w:val="00922B4A"/>
    <w:rsid w:val="00964940"/>
    <w:rsid w:val="0096668D"/>
    <w:rsid w:val="009B15B2"/>
    <w:rsid w:val="009C0739"/>
    <w:rsid w:val="009E2EA9"/>
    <w:rsid w:val="009F16FD"/>
    <w:rsid w:val="009F32C7"/>
    <w:rsid w:val="009F58D1"/>
    <w:rsid w:val="009F7B30"/>
    <w:rsid w:val="00A213F5"/>
    <w:rsid w:val="00A43AFF"/>
    <w:rsid w:val="00A44E68"/>
    <w:rsid w:val="00A518AC"/>
    <w:rsid w:val="00A63148"/>
    <w:rsid w:val="00A641D3"/>
    <w:rsid w:val="00A66445"/>
    <w:rsid w:val="00A7343F"/>
    <w:rsid w:val="00A7489D"/>
    <w:rsid w:val="00A7711D"/>
    <w:rsid w:val="00A77550"/>
    <w:rsid w:val="00A92B3B"/>
    <w:rsid w:val="00AA3D35"/>
    <w:rsid w:val="00AA4757"/>
    <w:rsid w:val="00AA5874"/>
    <w:rsid w:val="00AB0FB9"/>
    <w:rsid w:val="00AB22AE"/>
    <w:rsid w:val="00AB6B8D"/>
    <w:rsid w:val="00AE0BA4"/>
    <w:rsid w:val="00B00A81"/>
    <w:rsid w:val="00B155CF"/>
    <w:rsid w:val="00B32B67"/>
    <w:rsid w:val="00B33DA4"/>
    <w:rsid w:val="00B44E7B"/>
    <w:rsid w:val="00B4616E"/>
    <w:rsid w:val="00B51502"/>
    <w:rsid w:val="00B55645"/>
    <w:rsid w:val="00B57F61"/>
    <w:rsid w:val="00B610FD"/>
    <w:rsid w:val="00B61191"/>
    <w:rsid w:val="00B73F5E"/>
    <w:rsid w:val="00B84E5E"/>
    <w:rsid w:val="00BA446A"/>
    <w:rsid w:val="00BB7014"/>
    <w:rsid w:val="00BC6551"/>
    <w:rsid w:val="00BD30B9"/>
    <w:rsid w:val="00BD31FD"/>
    <w:rsid w:val="00BE0F8F"/>
    <w:rsid w:val="00BF415F"/>
    <w:rsid w:val="00C36B57"/>
    <w:rsid w:val="00C524E3"/>
    <w:rsid w:val="00C53991"/>
    <w:rsid w:val="00C713DF"/>
    <w:rsid w:val="00C80540"/>
    <w:rsid w:val="00C815CE"/>
    <w:rsid w:val="00C86B46"/>
    <w:rsid w:val="00C9427B"/>
    <w:rsid w:val="00CB1EAA"/>
    <w:rsid w:val="00CB3D5C"/>
    <w:rsid w:val="00CC52F4"/>
    <w:rsid w:val="00CD0128"/>
    <w:rsid w:val="00CD55C2"/>
    <w:rsid w:val="00CE2BD8"/>
    <w:rsid w:val="00CE3919"/>
    <w:rsid w:val="00CF10FD"/>
    <w:rsid w:val="00D041E0"/>
    <w:rsid w:val="00D128D7"/>
    <w:rsid w:val="00D17971"/>
    <w:rsid w:val="00D201B8"/>
    <w:rsid w:val="00D215E7"/>
    <w:rsid w:val="00D53F6F"/>
    <w:rsid w:val="00D60567"/>
    <w:rsid w:val="00D65418"/>
    <w:rsid w:val="00D95C48"/>
    <w:rsid w:val="00DE2079"/>
    <w:rsid w:val="00DE54BD"/>
    <w:rsid w:val="00DE728B"/>
    <w:rsid w:val="00DE7BBA"/>
    <w:rsid w:val="00DF2B44"/>
    <w:rsid w:val="00E115D3"/>
    <w:rsid w:val="00E13D7F"/>
    <w:rsid w:val="00E24176"/>
    <w:rsid w:val="00E30F6C"/>
    <w:rsid w:val="00E31534"/>
    <w:rsid w:val="00E42F05"/>
    <w:rsid w:val="00E53277"/>
    <w:rsid w:val="00E57AE0"/>
    <w:rsid w:val="00E633E7"/>
    <w:rsid w:val="00E759F2"/>
    <w:rsid w:val="00E77BC6"/>
    <w:rsid w:val="00EA373C"/>
    <w:rsid w:val="00EB5CF9"/>
    <w:rsid w:val="00EC14ED"/>
    <w:rsid w:val="00EC451C"/>
    <w:rsid w:val="00EE3BF7"/>
    <w:rsid w:val="00EF5131"/>
    <w:rsid w:val="00F04F9F"/>
    <w:rsid w:val="00F073F4"/>
    <w:rsid w:val="00F100FC"/>
    <w:rsid w:val="00F10BB8"/>
    <w:rsid w:val="00F1148C"/>
    <w:rsid w:val="00F13A9C"/>
    <w:rsid w:val="00F2058C"/>
    <w:rsid w:val="00F2190E"/>
    <w:rsid w:val="00F23A64"/>
    <w:rsid w:val="00F26F0D"/>
    <w:rsid w:val="00F27385"/>
    <w:rsid w:val="00F44F70"/>
    <w:rsid w:val="00F47904"/>
    <w:rsid w:val="00F51C02"/>
    <w:rsid w:val="00F53643"/>
    <w:rsid w:val="00F5486F"/>
    <w:rsid w:val="00F57E97"/>
    <w:rsid w:val="00F60403"/>
    <w:rsid w:val="00F65C64"/>
    <w:rsid w:val="00F737D0"/>
    <w:rsid w:val="00F80EC5"/>
    <w:rsid w:val="00F92B94"/>
    <w:rsid w:val="00F9508E"/>
    <w:rsid w:val="00F958BB"/>
    <w:rsid w:val="00FA4ED6"/>
    <w:rsid w:val="00FB2838"/>
    <w:rsid w:val="00FC58B0"/>
    <w:rsid w:val="00FD1599"/>
    <w:rsid w:val="00FE6B26"/>
    <w:rsid w:val="00FF4669"/>
    <w:rsid w:val="00FF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character" w:styleId="CommentReference">
    <w:name w:val="annotation reference"/>
    <w:basedOn w:val="DefaultParagraphFont"/>
    <w:uiPriority w:val="99"/>
    <w:semiHidden/>
    <w:unhideWhenUsed/>
    <w:rsid w:val="00BA446A"/>
    <w:rPr>
      <w:sz w:val="16"/>
      <w:szCs w:val="16"/>
    </w:rPr>
  </w:style>
  <w:style w:type="paragraph" w:styleId="CommentText">
    <w:name w:val="annotation text"/>
    <w:basedOn w:val="Normal"/>
    <w:link w:val="CommentTextChar"/>
    <w:uiPriority w:val="99"/>
    <w:semiHidden/>
    <w:unhideWhenUsed/>
    <w:rsid w:val="00BA446A"/>
    <w:rPr>
      <w:sz w:val="20"/>
      <w:szCs w:val="20"/>
    </w:rPr>
  </w:style>
  <w:style w:type="character" w:customStyle="1" w:styleId="CommentTextChar">
    <w:name w:val="Comment Text Char"/>
    <w:basedOn w:val="DefaultParagraphFont"/>
    <w:link w:val="CommentText"/>
    <w:uiPriority w:val="99"/>
    <w:semiHidden/>
    <w:rsid w:val="00BA446A"/>
  </w:style>
  <w:style w:type="paragraph" w:styleId="CommentSubject">
    <w:name w:val="annotation subject"/>
    <w:basedOn w:val="CommentText"/>
    <w:next w:val="CommentText"/>
    <w:link w:val="CommentSubjectChar"/>
    <w:uiPriority w:val="99"/>
    <w:semiHidden/>
    <w:unhideWhenUsed/>
    <w:rsid w:val="00BA446A"/>
    <w:rPr>
      <w:b/>
      <w:bCs/>
    </w:rPr>
  </w:style>
  <w:style w:type="character" w:customStyle="1" w:styleId="CommentSubjectChar">
    <w:name w:val="Comment Subject Char"/>
    <w:basedOn w:val="CommentTextChar"/>
    <w:link w:val="CommentSubject"/>
    <w:uiPriority w:val="99"/>
    <w:semiHidden/>
    <w:rsid w:val="00BA446A"/>
    <w:rPr>
      <w:b/>
      <w:bCs/>
    </w:rPr>
  </w:style>
  <w:style w:type="paragraph" w:styleId="Revision">
    <w:name w:val="Revision"/>
    <w:hidden/>
    <w:uiPriority w:val="99"/>
    <w:semiHidden/>
    <w:rsid w:val="006F78DC"/>
    <w:rPr>
      <w:sz w:val="24"/>
      <w:szCs w:val="24"/>
    </w:rPr>
  </w:style>
  <w:style w:type="paragraph" w:styleId="NormalWeb">
    <w:name w:val="Normal (Web)"/>
    <w:basedOn w:val="Normal"/>
    <w:uiPriority w:val="99"/>
    <w:unhideWhenUsed/>
    <w:rsid w:val="006F6E81"/>
    <w:pPr>
      <w:spacing w:before="100" w:beforeAutospacing="1" w:after="100" w:afterAutospacing="1"/>
    </w:pPr>
  </w:style>
  <w:style w:type="paragraph" w:customStyle="1" w:styleId="Default">
    <w:name w:val="Default"/>
    <w:rsid w:val="00AE0BA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7731">
      <w:bodyDiv w:val="1"/>
      <w:marLeft w:val="0"/>
      <w:marRight w:val="0"/>
      <w:marTop w:val="0"/>
      <w:marBottom w:val="0"/>
      <w:divBdr>
        <w:top w:val="none" w:sz="0" w:space="0" w:color="auto"/>
        <w:left w:val="none" w:sz="0" w:space="0" w:color="auto"/>
        <w:bottom w:val="none" w:sz="0" w:space="0" w:color="auto"/>
        <w:right w:val="none" w:sz="0" w:space="0" w:color="auto"/>
      </w:divBdr>
    </w:div>
    <w:div w:id="268436622">
      <w:bodyDiv w:val="1"/>
      <w:marLeft w:val="0"/>
      <w:marRight w:val="0"/>
      <w:marTop w:val="0"/>
      <w:marBottom w:val="0"/>
      <w:divBdr>
        <w:top w:val="none" w:sz="0" w:space="0" w:color="auto"/>
        <w:left w:val="none" w:sz="0" w:space="0" w:color="auto"/>
        <w:bottom w:val="none" w:sz="0" w:space="0" w:color="auto"/>
        <w:right w:val="none" w:sz="0" w:space="0" w:color="auto"/>
      </w:divBdr>
    </w:div>
    <w:div w:id="594168058">
      <w:bodyDiv w:val="1"/>
      <w:marLeft w:val="0"/>
      <w:marRight w:val="0"/>
      <w:marTop w:val="0"/>
      <w:marBottom w:val="0"/>
      <w:divBdr>
        <w:top w:val="none" w:sz="0" w:space="0" w:color="auto"/>
        <w:left w:val="none" w:sz="0" w:space="0" w:color="auto"/>
        <w:bottom w:val="none" w:sz="0" w:space="0" w:color="auto"/>
        <w:right w:val="none" w:sz="0" w:space="0" w:color="auto"/>
      </w:divBdr>
    </w:div>
    <w:div w:id="608706091">
      <w:bodyDiv w:val="1"/>
      <w:marLeft w:val="0"/>
      <w:marRight w:val="0"/>
      <w:marTop w:val="0"/>
      <w:marBottom w:val="0"/>
      <w:divBdr>
        <w:top w:val="none" w:sz="0" w:space="0" w:color="auto"/>
        <w:left w:val="none" w:sz="0" w:space="0" w:color="auto"/>
        <w:bottom w:val="none" w:sz="0" w:space="0" w:color="auto"/>
        <w:right w:val="none" w:sz="0" w:space="0" w:color="auto"/>
      </w:divBdr>
    </w:div>
    <w:div w:id="799567825">
      <w:bodyDiv w:val="1"/>
      <w:marLeft w:val="0"/>
      <w:marRight w:val="0"/>
      <w:marTop w:val="0"/>
      <w:marBottom w:val="0"/>
      <w:divBdr>
        <w:top w:val="none" w:sz="0" w:space="0" w:color="auto"/>
        <w:left w:val="none" w:sz="0" w:space="0" w:color="auto"/>
        <w:bottom w:val="none" w:sz="0" w:space="0" w:color="auto"/>
        <w:right w:val="none" w:sz="0" w:space="0" w:color="auto"/>
      </w:divBdr>
    </w:div>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323582938">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 w:id="1853101972">
      <w:bodyDiv w:val="1"/>
      <w:marLeft w:val="0"/>
      <w:marRight w:val="0"/>
      <w:marTop w:val="0"/>
      <w:marBottom w:val="0"/>
      <w:divBdr>
        <w:top w:val="none" w:sz="0" w:space="0" w:color="auto"/>
        <w:left w:val="none" w:sz="0" w:space="0" w:color="auto"/>
        <w:bottom w:val="none" w:sz="0" w:space="0" w:color="auto"/>
        <w:right w:val="none" w:sz="0" w:space="0" w:color="auto"/>
      </w:divBdr>
    </w:div>
    <w:div w:id="1960601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1295-FE61-4BFB-9688-42763902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Mark Reynolds</cp:lastModifiedBy>
  <cp:revision>4</cp:revision>
  <dcterms:created xsi:type="dcterms:W3CDTF">2024-06-20T19:26:00Z</dcterms:created>
  <dcterms:modified xsi:type="dcterms:W3CDTF">2024-06-21T19:18:00Z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54698183v1</vt:lpwstr>
  </property>
</Properties>
</file>