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8D0B8F"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5855F327" w:rsidR="008D7E3A" w:rsidRDefault="008D7E3A" w:rsidP="008D7E3A">
      <w:pPr>
        <w:ind w:left="144" w:right="144"/>
        <w:jc w:val="center"/>
        <w:rPr>
          <w:sz w:val="20"/>
          <w:szCs w:val="20"/>
        </w:rPr>
      </w:pPr>
      <w:r>
        <w:rPr>
          <w:b/>
          <w:bCs/>
          <w:sz w:val="20"/>
          <w:szCs w:val="20"/>
        </w:rPr>
        <w:t>Date of report (Date of earliest event reported):  </w:t>
      </w:r>
      <w:r w:rsidR="006A6ADE">
        <w:rPr>
          <w:b/>
          <w:bCs/>
          <w:sz w:val="20"/>
          <w:szCs w:val="20"/>
        </w:rPr>
        <w:t>January</w:t>
      </w:r>
      <w:r w:rsidR="004D4E0A">
        <w:rPr>
          <w:b/>
          <w:bCs/>
          <w:sz w:val="20"/>
          <w:szCs w:val="20"/>
        </w:rPr>
        <w:t xml:space="preserve"> </w:t>
      </w:r>
      <w:r w:rsidR="006A6ADE">
        <w:rPr>
          <w:b/>
          <w:bCs/>
          <w:sz w:val="20"/>
          <w:szCs w:val="20"/>
        </w:rPr>
        <w:t>4</w:t>
      </w:r>
      <w:r>
        <w:rPr>
          <w:b/>
          <w:bCs/>
          <w:sz w:val="20"/>
          <w:szCs w:val="20"/>
        </w:rPr>
        <w:t>, 202</w:t>
      </w:r>
      <w:r w:rsidR="006A6ADE">
        <w:rPr>
          <w:b/>
          <w:bCs/>
          <w:sz w:val="20"/>
          <w:szCs w:val="20"/>
        </w:rPr>
        <w:t>2</w:t>
      </w:r>
      <w:r>
        <w:rPr>
          <w:sz w:val="20"/>
          <w:szCs w:val="20"/>
        </w:rPr>
        <w:t> </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8D0B8F"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5808B58E" w14:textId="77777777" w:rsidR="008D7E3A" w:rsidRDefault="008D7E3A" w:rsidP="008D7E3A">
      <w:pPr>
        <w:ind w:left="144" w:right="144"/>
        <w:rPr>
          <w:sz w:val="20"/>
          <w:szCs w:val="20"/>
        </w:rPr>
      </w:pPr>
      <w:r>
        <w:rPr>
          <w:sz w:val="20"/>
          <w:szCs w:val="20"/>
        </w:rPr>
        <w:br w:type="page"/>
      </w:r>
      <w:r>
        <w:rPr>
          <w:sz w:val="20"/>
          <w:szCs w:val="20"/>
        </w:rPr>
        <w:lastRenderedPageBreak/>
        <w:t> </w:t>
      </w:r>
    </w:p>
    <w:p w14:paraId="2B28EAC3" w14:textId="025EC905" w:rsidR="00CB3D5C" w:rsidRDefault="008D7E3A" w:rsidP="00C36B57">
      <w:pPr>
        <w:ind w:left="144" w:right="144"/>
        <w:rPr>
          <w:sz w:val="20"/>
          <w:szCs w:val="20"/>
        </w:rPr>
      </w:pPr>
      <w:r>
        <w:rPr>
          <w:sz w:val="20"/>
          <w:szCs w:val="20"/>
        </w:rPr>
        <w:t> </w:t>
      </w:r>
    </w:p>
    <w:p w14:paraId="70E7D6C4" w14:textId="506709B3" w:rsidR="008D7E3A" w:rsidRDefault="008D7E3A" w:rsidP="005108D6">
      <w:pPr>
        <w:ind w:left="180" w:right="144"/>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41B57D0A" w14:textId="77777777" w:rsidTr="008D7E3A">
        <w:tc>
          <w:tcPr>
            <w:tcW w:w="1260" w:type="dxa"/>
            <w:tcMar>
              <w:top w:w="5" w:type="dxa"/>
              <w:left w:w="5" w:type="dxa"/>
              <w:bottom w:w="5" w:type="dxa"/>
              <w:right w:w="5" w:type="dxa"/>
            </w:tcMar>
            <w:hideMark/>
          </w:tcPr>
          <w:p w14:paraId="09270D4D" w14:textId="47D2588C" w:rsidR="008D7E3A" w:rsidRDefault="008D7E3A" w:rsidP="00A7711D">
            <w:pPr>
              <w:rPr>
                <w:color w:val="000000"/>
                <w:sz w:val="20"/>
                <w:szCs w:val="20"/>
              </w:rPr>
            </w:pPr>
            <w:r>
              <w:rPr>
                <w:b/>
                <w:bCs/>
                <w:color w:val="000000"/>
                <w:sz w:val="20"/>
                <w:szCs w:val="20"/>
              </w:rPr>
              <w:t xml:space="preserve">Item </w:t>
            </w:r>
            <w:r w:rsidR="00A7711D">
              <w:rPr>
                <w:b/>
                <w:bCs/>
                <w:color w:val="000000"/>
                <w:sz w:val="20"/>
                <w:szCs w:val="20"/>
              </w:rPr>
              <w:t>7</w:t>
            </w:r>
            <w:r w:rsidR="00FD1599">
              <w:rPr>
                <w:b/>
                <w:bCs/>
                <w:color w:val="000000"/>
                <w:sz w:val="20"/>
                <w:szCs w:val="20"/>
              </w:rPr>
              <w:t>.01</w:t>
            </w:r>
            <w:r>
              <w:rPr>
                <w:b/>
                <w:bCs/>
                <w:color w:val="000000"/>
                <w:sz w:val="20"/>
                <w:szCs w:val="20"/>
              </w:rPr>
              <w:t xml:space="preserve"> </w:t>
            </w:r>
          </w:p>
        </w:tc>
        <w:tc>
          <w:tcPr>
            <w:tcW w:w="0" w:type="auto"/>
            <w:tcMar>
              <w:top w:w="5" w:type="dxa"/>
              <w:left w:w="5" w:type="dxa"/>
              <w:bottom w:w="5" w:type="dxa"/>
              <w:right w:w="5" w:type="dxa"/>
            </w:tcMar>
            <w:hideMark/>
          </w:tcPr>
          <w:p w14:paraId="3A35EC42" w14:textId="17FF7B04" w:rsidR="008D7E3A" w:rsidRDefault="00087359">
            <w:pPr>
              <w:rPr>
                <w:color w:val="000000"/>
                <w:sz w:val="20"/>
                <w:szCs w:val="20"/>
              </w:rPr>
            </w:pPr>
            <w:r>
              <w:rPr>
                <w:b/>
                <w:bCs/>
                <w:color w:val="000000"/>
                <w:sz w:val="20"/>
                <w:szCs w:val="20"/>
              </w:rPr>
              <w:t>Regulation FD Disclosure</w:t>
            </w:r>
            <w:r w:rsidR="008D7E3A">
              <w:rPr>
                <w:b/>
                <w:bCs/>
                <w:color w:val="000000"/>
                <w:sz w:val="20"/>
                <w:szCs w:val="20"/>
              </w:rPr>
              <w:t>.</w:t>
            </w:r>
          </w:p>
        </w:tc>
      </w:tr>
    </w:tbl>
    <w:p w14:paraId="6A8AB309" w14:textId="77777777" w:rsidR="008D7E3A" w:rsidRDefault="008D7E3A" w:rsidP="008D7E3A">
      <w:pPr>
        <w:ind w:left="144" w:right="144"/>
        <w:rPr>
          <w:sz w:val="20"/>
          <w:szCs w:val="20"/>
        </w:rPr>
      </w:pPr>
      <w:r>
        <w:rPr>
          <w:b/>
          <w:bCs/>
          <w:i/>
          <w:iCs/>
          <w:sz w:val="20"/>
          <w:szCs w:val="20"/>
        </w:rPr>
        <w:t> </w:t>
      </w:r>
      <w:r>
        <w:rPr>
          <w:sz w:val="20"/>
          <w:szCs w:val="20"/>
        </w:rPr>
        <w:t> </w:t>
      </w:r>
    </w:p>
    <w:p w14:paraId="6906CCFE" w14:textId="1A9A2D4B" w:rsidR="006A6ADE" w:rsidRDefault="006A6ADE" w:rsidP="00920CCF">
      <w:pPr>
        <w:ind w:left="144" w:right="144"/>
        <w:jc w:val="both"/>
        <w:rPr>
          <w:bCs/>
          <w:sz w:val="20"/>
          <w:szCs w:val="20"/>
        </w:rPr>
      </w:pPr>
      <w:r>
        <w:rPr>
          <w:bCs/>
          <w:sz w:val="20"/>
          <w:szCs w:val="20"/>
        </w:rPr>
        <w:t>On January 4, 2022, GeoVax Labs, Inc. (“GeoVax” or the “Company”) issued a press release announcing the release of a shareholder update letter.</w:t>
      </w:r>
      <w:r w:rsidRPr="00BB7014">
        <w:rPr>
          <w:sz w:val="20"/>
          <w:szCs w:val="20"/>
        </w:rPr>
        <w:t xml:space="preserve"> </w:t>
      </w:r>
      <w:r w:rsidRPr="00A7711D">
        <w:rPr>
          <w:sz w:val="20"/>
          <w:szCs w:val="20"/>
        </w:rPr>
        <w:t>A copy of the press release is being furnished a</w:t>
      </w:r>
      <w:r>
        <w:rPr>
          <w:sz w:val="20"/>
          <w:szCs w:val="20"/>
        </w:rPr>
        <w:t>s Exhibit 99.1 to this Current Report on Form 8-K</w:t>
      </w:r>
      <w:r w:rsidRPr="00BB7014">
        <w:rPr>
          <w:sz w:val="20"/>
          <w:szCs w:val="20"/>
        </w:rPr>
        <w:t>.</w:t>
      </w:r>
    </w:p>
    <w:p w14:paraId="64FAE1BB" w14:textId="77777777" w:rsidR="00087359" w:rsidRDefault="00087359" w:rsidP="00087359">
      <w:pPr>
        <w:ind w:right="144"/>
        <w:jc w:val="both"/>
        <w:rPr>
          <w:sz w:val="20"/>
          <w:szCs w:val="20"/>
        </w:rPr>
      </w:pPr>
    </w:p>
    <w:p w14:paraId="3D95F5B0" w14:textId="6FA0615F" w:rsidR="00F100FC" w:rsidRDefault="00087359" w:rsidP="00087359">
      <w:pPr>
        <w:ind w:left="144" w:right="144"/>
        <w:jc w:val="both"/>
        <w:rPr>
          <w:sz w:val="20"/>
          <w:szCs w:val="20"/>
        </w:rPr>
      </w:pPr>
      <w:r w:rsidRPr="00A7711D">
        <w:rPr>
          <w:sz w:val="20"/>
          <w:szCs w:val="20"/>
        </w:rPr>
        <w:t>The information in Item 7.01 of this Current Report on Form 8-K and Exhibit 99.1 attached hereto shall not be deemed “filed” for purposes of Section 18 of the Securities Exchange Act of 1934, as amended (the “Exchange Act”), or otherwise subject to liability under that section, nor shall it be deemed incorporated by reference in any filing under the Securities Act, or the Exchange Act, except as expressly set forth by spec</w:t>
      </w:r>
      <w:r>
        <w:rPr>
          <w:sz w:val="20"/>
          <w:szCs w:val="20"/>
        </w:rPr>
        <w:t>ific reference in such a filing.</w:t>
      </w:r>
      <w:r w:rsidR="00BB7014">
        <w:rPr>
          <w:sz w:val="20"/>
          <w:szCs w:val="20"/>
        </w:rPr>
        <w:t xml:space="preserve"> </w:t>
      </w:r>
    </w:p>
    <w:p w14:paraId="61F9BF5C" w14:textId="6AEF9D11" w:rsidR="00C36B57" w:rsidRDefault="00C36B57" w:rsidP="007B5113">
      <w:pPr>
        <w:ind w:right="144"/>
        <w:jc w:val="both"/>
        <w:rPr>
          <w:sz w:val="20"/>
          <w:szCs w:val="20"/>
        </w:rPr>
      </w:pPr>
    </w:p>
    <w:p w14:paraId="6C6BBE48" w14:textId="6BE471E8" w:rsidR="00C36B57" w:rsidRPr="00C36B57" w:rsidRDefault="00C36B57" w:rsidP="00C36B57">
      <w:pPr>
        <w:ind w:left="144" w:right="144"/>
        <w:jc w:val="both"/>
        <w:rPr>
          <w:b/>
          <w:sz w:val="20"/>
          <w:szCs w:val="20"/>
        </w:rPr>
      </w:pPr>
      <w:r w:rsidRPr="00C36B57">
        <w:rPr>
          <w:b/>
          <w:sz w:val="20"/>
          <w:szCs w:val="20"/>
        </w:rPr>
        <w:t>Forward-Looking Statements</w:t>
      </w:r>
    </w:p>
    <w:p w14:paraId="3C522C64" w14:textId="77777777" w:rsidR="00C36B57" w:rsidRDefault="00C36B57" w:rsidP="00C36B57">
      <w:pPr>
        <w:ind w:left="144" w:right="144"/>
        <w:jc w:val="both"/>
        <w:rPr>
          <w:sz w:val="20"/>
          <w:szCs w:val="20"/>
        </w:rPr>
      </w:pPr>
    </w:p>
    <w:p w14:paraId="39555BAE" w14:textId="6098AB0F" w:rsidR="00C36B57" w:rsidRDefault="00C36B57" w:rsidP="00C36B57">
      <w:pPr>
        <w:ind w:left="144" w:right="144"/>
        <w:jc w:val="both"/>
        <w:rPr>
          <w:sz w:val="20"/>
          <w:szCs w:val="20"/>
        </w:rPr>
      </w:pPr>
      <w:r>
        <w:rPr>
          <w:sz w:val="20"/>
          <w:szCs w:val="20"/>
        </w:rPr>
        <w:t xml:space="preserve">This Current Report on Form 8-K and other reports filed by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w:t>
      </w:r>
      <w:r w:rsidR="00314FC4">
        <w:rPr>
          <w:sz w:val="20"/>
          <w:szCs w:val="20"/>
        </w:rPr>
        <w:t>“</w:t>
      </w:r>
      <w:r w:rsidR="00314FC4" w:rsidRPr="00314FC4">
        <w:rPr>
          <w:sz w:val="20"/>
          <w:szCs w:val="20"/>
        </w:rPr>
        <w:t>believe,” “look forward to,” “may,” “estimate,” “continue,” “anticipate,” “intend,” “should,” “plan,” “could,” “target,” “potential,” “is likely,” “will,” “expect”</w:t>
      </w:r>
      <w:r w:rsidR="00314FC4">
        <w:rPr>
          <w:sz w:val="20"/>
          <w:szCs w:val="20"/>
        </w:rPr>
        <w:t xml:space="preserve"> </w:t>
      </w:r>
      <w:r>
        <w:rPr>
          <w:sz w:val="20"/>
          <w:szCs w:val="20"/>
        </w:rPr>
        <w:t xml:space="preserve">or the negative of these terms and similar expressions as they relate to the Company or the Company’s management identify forward looking statements.  Such statements reflect the current view of the Company with respect to future events and are subject to risks, uncertainties, </w:t>
      </w:r>
      <w:proofErr w:type="gramStart"/>
      <w:r>
        <w:rPr>
          <w:sz w:val="20"/>
          <w:szCs w:val="20"/>
        </w:rPr>
        <w:t>assumptions</w:t>
      </w:r>
      <w:proofErr w:type="gramEnd"/>
      <w:r>
        <w:rPr>
          <w:sz w:val="20"/>
          <w:szCs w:val="20"/>
        </w:rPr>
        <w:t xml:space="preserve">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w:t>
      </w:r>
      <w:proofErr w:type="gramStart"/>
      <w:r>
        <w:rPr>
          <w:sz w:val="20"/>
          <w:szCs w:val="20"/>
        </w:rPr>
        <w:t>intended</w:t>
      </w:r>
      <w:proofErr w:type="gramEnd"/>
      <w:r>
        <w:rPr>
          <w:sz w:val="20"/>
          <w:szCs w:val="20"/>
        </w:rPr>
        <w:t xml:space="preserve"> or planned. Except as required by law, the Company does not undertake to update its forward-looking statements.</w:t>
      </w:r>
    </w:p>
    <w:p w14:paraId="13F1E109" w14:textId="77777777" w:rsidR="00C36B57" w:rsidRDefault="00C36B57" w:rsidP="00F100FC">
      <w:pPr>
        <w:ind w:left="144" w:right="144"/>
        <w:jc w:val="both"/>
        <w:rPr>
          <w:sz w:val="20"/>
          <w:szCs w:val="20"/>
        </w:rPr>
      </w:pPr>
    </w:p>
    <w:p w14:paraId="413D330F" w14:textId="77777777" w:rsidR="00BB7014" w:rsidRDefault="00BB7014" w:rsidP="00F100FC">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4E391C68" w:rsidR="008D7E3A" w:rsidRDefault="008D7E3A" w:rsidP="00A7711D">
            <w:pPr>
              <w:rPr>
                <w:sz w:val="20"/>
                <w:szCs w:val="20"/>
              </w:rPr>
            </w:pPr>
            <w:r>
              <w:rPr>
                <w:sz w:val="20"/>
                <w:szCs w:val="20"/>
              </w:rPr>
              <w:t xml:space="preserve">Press release dated </w:t>
            </w:r>
            <w:r w:rsidR="006A6ADE">
              <w:rPr>
                <w:sz w:val="20"/>
                <w:szCs w:val="20"/>
              </w:rPr>
              <w:t>January</w:t>
            </w:r>
            <w:r w:rsidR="004D4E0A">
              <w:rPr>
                <w:sz w:val="20"/>
                <w:szCs w:val="20"/>
              </w:rPr>
              <w:t xml:space="preserve"> </w:t>
            </w:r>
            <w:r w:rsidR="006A6ADE">
              <w:rPr>
                <w:sz w:val="20"/>
                <w:szCs w:val="20"/>
              </w:rPr>
              <w:t>4</w:t>
            </w:r>
            <w:r>
              <w:rPr>
                <w:sz w:val="20"/>
                <w:szCs w:val="20"/>
              </w:rPr>
              <w:t>, 202</w:t>
            </w:r>
            <w:r w:rsidR="006A6ADE">
              <w:rPr>
                <w:sz w:val="20"/>
                <w:szCs w:val="20"/>
              </w:rPr>
              <w:t>2</w:t>
            </w:r>
          </w:p>
        </w:tc>
      </w:tr>
      <w:tr w:rsidR="00A7711D" w14:paraId="2D4C5F1F" w14:textId="77777777" w:rsidTr="008D7E3A">
        <w:tc>
          <w:tcPr>
            <w:tcW w:w="600" w:type="pct"/>
            <w:tcMar>
              <w:top w:w="5" w:type="dxa"/>
              <w:left w:w="5" w:type="dxa"/>
              <w:bottom w:w="5" w:type="dxa"/>
              <w:right w:w="5" w:type="dxa"/>
            </w:tcMar>
          </w:tcPr>
          <w:p w14:paraId="21AF7946" w14:textId="40C001CF" w:rsidR="00A7711D" w:rsidRDefault="00A7711D">
            <w:pPr>
              <w:ind w:left="180"/>
              <w:rPr>
                <w:sz w:val="20"/>
                <w:szCs w:val="20"/>
              </w:rPr>
            </w:pPr>
            <w:r>
              <w:rPr>
                <w:sz w:val="20"/>
                <w:szCs w:val="20"/>
              </w:rPr>
              <w:t>104</w:t>
            </w:r>
          </w:p>
        </w:tc>
        <w:tc>
          <w:tcPr>
            <w:tcW w:w="4400" w:type="pct"/>
            <w:tcMar>
              <w:top w:w="5" w:type="dxa"/>
              <w:left w:w="5" w:type="dxa"/>
              <w:bottom w:w="5" w:type="dxa"/>
              <w:right w:w="5" w:type="dxa"/>
            </w:tcMar>
          </w:tcPr>
          <w:p w14:paraId="63CC3CFB" w14:textId="584ABFD9" w:rsidR="00A7711D" w:rsidRDefault="00A7711D" w:rsidP="00A7711D">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11370499"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7026037E" w:rsidR="008D7E3A" w:rsidRDefault="008D7E3A" w:rsidP="008D7E3A">
      <w:pPr>
        <w:ind w:left="144" w:right="144"/>
        <w:rPr>
          <w:sz w:val="20"/>
          <w:szCs w:val="20"/>
        </w:rPr>
      </w:pPr>
      <w:r>
        <w:rPr>
          <w:sz w:val="20"/>
          <w:szCs w:val="20"/>
        </w:rPr>
        <w:t xml:space="preserve">Date: </w:t>
      </w:r>
      <w:r w:rsidR="006A6ADE">
        <w:rPr>
          <w:sz w:val="20"/>
          <w:szCs w:val="20"/>
        </w:rPr>
        <w:t>January</w:t>
      </w:r>
      <w:r w:rsidR="00920CCF">
        <w:rPr>
          <w:sz w:val="20"/>
          <w:szCs w:val="20"/>
        </w:rPr>
        <w:t xml:space="preserve"> </w:t>
      </w:r>
      <w:r w:rsidR="006A6ADE">
        <w:rPr>
          <w:sz w:val="20"/>
          <w:szCs w:val="20"/>
        </w:rPr>
        <w:t>4</w:t>
      </w:r>
      <w:r>
        <w:rPr>
          <w:sz w:val="20"/>
          <w:szCs w:val="20"/>
        </w:rPr>
        <w:t>, 202</w:t>
      </w:r>
      <w:r w:rsidR="006A6ADE">
        <w:rPr>
          <w:sz w:val="20"/>
          <w:szCs w:val="20"/>
        </w:rPr>
        <w:t>2</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756A8205" w14:textId="77777777" w:rsidR="008D0B8F" w:rsidRDefault="008D0B8F" w:rsidP="008D7E3A">
      <w:pPr>
        <w:sectPr w:rsidR="008D0B8F">
          <w:footerReference w:type="default" r:id="rId8"/>
          <w:pgSz w:w="12240" w:h="15840"/>
          <w:pgMar w:top="576" w:right="720" w:bottom="576" w:left="720" w:header="144" w:footer="432" w:gutter="0"/>
          <w:cols w:space="720"/>
        </w:sectPr>
      </w:pPr>
    </w:p>
    <w:p w14:paraId="587A1326" w14:textId="5906ED49" w:rsidR="008D0B8F" w:rsidRPr="008D0B8F" w:rsidRDefault="008D0B8F" w:rsidP="008D0B8F">
      <w:pPr>
        <w:rPr>
          <w:b/>
          <w:color w:val="000000"/>
          <w:sz w:val="22"/>
          <w:szCs w:val="22"/>
        </w:rPr>
      </w:pPr>
      <w:r>
        <w:rPr>
          <w:noProof/>
        </w:rPr>
        <w:lastRenderedPageBreak/>
        <mc:AlternateContent>
          <mc:Choice Requires="wps">
            <w:drawing>
              <wp:anchor distT="45720" distB="45720" distL="114300" distR="114300" simplePos="0" relativeHeight="251659264" behindDoc="1" locked="0" layoutInCell="1" allowOverlap="1" wp14:anchorId="1D875A94" wp14:editId="33C56A04">
                <wp:simplePos x="0" y="0"/>
                <wp:positionH relativeFrom="column">
                  <wp:posOffset>5541645</wp:posOffset>
                </wp:positionH>
                <wp:positionV relativeFrom="paragraph">
                  <wp:posOffset>-425450</wp:posOffset>
                </wp:positionV>
                <wp:extent cx="10287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noFill/>
                          <a:miter lim="800000"/>
                          <a:headEnd/>
                          <a:tailEnd/>
                        </a:ln>
                      </wps:spPr>
                      <wps:txbx>
                        <w:txbxContent>
                          <w:p w14:paraId="285EC454" w14:textId="77777777" w:rsidR="008D0B8F" w:rsidRPr="008D0B8F" w:rsidRDefault="008D0B8F" w:rsidP="008D0B8F">
                            <w:pPr>
                              <w:rPr>
                                <w:b/>
                                <w:bCs/>
                              </w:rPr>
                            </w:pPr>
                            <w:r w:rsidRPr="008D0B8F">
                              <w:rPr>
                                <w:b/>
                                <w:bCs/>
                              </w:rPr>
                              <w:t>Exhibit 99.1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5A94" id="_x0000_t202" coordsize="21600,21600" o:spt="202" path="m,l,21600r21600,l21600,xe">
                <v:stroke joinstyle="miter"/>
                <v:path gradientshapeok="t" o:connecttype="rect"/>
              </v:shapetype>
              <v:shape id="Text Box 2" o:spid="_x0000_s1026" type="#_x0000_t202" style="position:absolute;margin-left:436.35pt;margin-top:-33.5pt;width:81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" stroked="f">
                <v:textbox style="mso-fit-shape-to-text:t">
                  <w:txbxContent>
                    <w:p w14:paraId="285EC454" w14:textId="77777777" w:rsidR="008D0B8F" w:rsidRPr="008D0B8F" w:rsidRDefault="008D0B8F" w:rsidP="008D0B8F">
                      <w:pPr>
                        <w:rPr>
                          <w:b/>
                          <w:bCs/>
                        </w:rPr>
                      </w:pPr>
                      <w:r w:rsidRPr="008D0B8F">
                        <w:rPr>
                          <w:b/>
                          <w:bCs/>
                        </w:rPr>
                        <w:t>Exhibit 99.1</w:t>
                      </w:r>
                    </w:p>
                  </w:txbxContent>
                </v:textbox>
              </v:shape>
            </w:pict>
          </mc:Fallback>
        </mc:AlternateContent>
      </w:r>
    </w:p>
    <w:p w14:paraId="5E3D7B55" w14:textId="68FD5085" w:rsidR="008D0B8F" w:rsidRPr="008D0B8F" w:rsidRDefault="008D0B8F" w:rsidP="008D0B8F">
      <w:pPr>
        <w:jc w:val="center"/>
        <w:rPr>
          <w:b/>
          <w:color w:val="000000"/>
          <w:sz w:val="36"/>
          <w:szCs w:val="36"/>
        </w:rPr>
      </w:pPr>
      <w:r w:rsidRPr="008D0B8F">
        <w:rPr>
          <w:b/>
          <w:color w:val="000000"/>
          <w:sz w:val="36"/>
          <w:szCs w:val="36"/>
        </w:rPr>
        <w:t>GeoVax Issues Shareholder Update Letter</w:t>
      </w:r>
      <w:r w:rsidRPr="008D0B8F">
        <w:rPr>
          <w:noProof/>
        </w:rPr>
        <w:t xml:space="preserve"> </w:t>
      </w:r>
    </w:p>
    <w:p w14:paraId="77B1669C" w14:textId="130BEC54" w:rsidR="008D0B8F" w:rsidRPr="008D0B8F" w:rsidRDefault="008D0B8F" w:rsidP="008D0B8F">
      <w:pPr>
        <w:jc w:val="center"/>
        <w:rPr>
          <w:b/>
          <w:i/>
          <w:iCs/>
          <w:color w:val="000000"/>
          <w:sz w:val="28"/>
          <w:szCs w:val="28"/>
        </w:rPr>
      </w:pPr>
    </w:p>
    <w:p w14:paraId="6BBA5CBD" w14:textId="77777777" w:rsidR="008D0B8F" w:rsidRPr="008D0B8F" w:rsidRDefault="008D0B8F" w:rsidP="008D0B8F">
      <w:pPr>
        <w:jc w:val="center"/>
        <w:rPr>
          <w:b/>
          <w:bCs/>
          <w:i/>
          <w:iCs/>
          <w:color w:val="000000"/>
          <w:sz w:val="28"/>
          <w:szCs w:val="28"/>
        </w:rPr>
      </w:pPr>
      <w:r w:rsidRPr="008D0B8F">
        <w:rPr>
          <w:b/>
          <w:bCs/>
          <w:i/>
          <w:iCs/>
          <w:color w:val="000000"/>
          <w:sz w:val="28"/>
          <w:szCs w:val="28"/>
        </w:rPr>
        <w:t>Letter from CEO Describes Achievements during 2021</w:t>
      </w:r>
    </w:p>
    <w:p w14:paraId="6784B86B" w14:textId="77777777" w:rsidR="008D0B8F" w:rsidRPr="008D0B8F" w:rsidRDefault="008D0B8F" w:rsidP="008D0B8F">
      <w:pPr>
        <w:jc w:val="center"/>
        <w:rPr>
          <w:b/>
          <w:bCs/>
          <w:i/>
          <w:iCs/>
          <w:color w:val="000000"/>
          <w:sz w:val="28"/>
          <w:szCs w:val="28"/>
        </w:rPr>
      </w:pPr>
      <w:r w:rsidRPr="008D0B8F">
        <w:rPr>
          <w:b/>
          <w:bCs/>
          <w:i/>
          <w:iCs/>
          <w:color w:val="000000"/>
          <w:sz w:val="28"/>
          <w:szCs w:val="28"/>
        </w:rPr>
        <w:t>and Sets Forth New Goals for 2022</w:t>
      </w:r>
    </w:p>
    <w:p w14:paraId="69A3C127" w14:textId="77777777" w:rsidR="008D0B8F" w:rsidRPr="008D0B8F" w:rsidRDefault="008D0B8F" w:rsidP="008D0B8F">
      <w:pPr>
        <w:jc w:val="center"/>
        <w:rPr>
          <w:b/>
          <w:i/>
          <w:iCs/>
          <w:color w:val="000000"/>
          <w:sz w:val="28"/>
          <w:szCs w:val="28"/>
        </w:rPr>
      </w:pPr>
    </w:p>
    <w:p w14:paraId="4A35DEAB" w14:textId="77777777" w:rsidR="008D0B8F" w:rsidRPr="008D0B8F" w:rsidRDefault="008D0B8F" w:rsidP="008D0B8F">
      <w:pPr>
        <w:jc w:val="both"/>
        <w:rPr>
          <w:sz w:val="22"/>
          <w:szCs w:val="22"/>
        </w:rPr>
      </w:pPr>
      <w:r w:rsidRPr="008D0B8F">
        <w:rPr>
          <w:b/>
          <w:bCs/>
          <w:sz w:val="22"/>
          <w:szCs w:val="22"/>
        </w:rPr>
        <w:t>ATLANTA, GA, January 4, 2022</w:t>
      </w:r>
      <w:r w:rsidRPr="008D0B8F">
        <w:rPr>
          <w:sz w:val="22"/>
          <w:szCs w:val="22"/>
        </w:rPr>
        <w:t xml:space="preserve"> — GeoVax Labs, Inc. (Nasdaq: GOVX), a biotechnology company specializing in developing human vaccines and cancer immunotherapies, </w:t>
      </w:r>
      <w:r w:rsidRPr="008D0B8F">
        <w:rPr>
          <w:color w:val="000000"/>
          <w:sz w:val="22"/>
          <w:szCs w:val="22"/>
        </w:rPr>
        <w:t xml:space="preserve">today </w:t>
      </w:r>
      <w:r w:rsidRPr="008D0B8F">
        <w:rPr>
          <w:sz w:val="22"/>
          <w:szCs w:val="22"/>
        </w:rPr>
        <w:t>issued an update letter from Chairman and CEO, David Dodd, to the Company’s shareholders and other interested parties. The letter is posted to the Company’s website and is appended in its entirety to the end of this press release.</w:t>
      </w:r>
    </w:p>
    <w:p w14:paraId="0FAC165F" w14:textId="77777777" w:rsidR="008D0B8F" w:rsidRPr="008D0B8F" w:rsidRDefault="008D0B8F" w:rsidP="008D0B8F">
      <w:pPr>
        <w:jc w:val="both"/>
        <w:rPr>
          <w:bCs/>
          <w:color w:val="000000"/>
          <w:sz w:val="22"/>
          <w:szCs w:val="22"/>
        </w:rPr>
      </w:pPr>
    </w:p>
    <w:p w14:paraId="57E30297" w14:textId="77777777" w:rsidR="008D0B8F" w:rsidRPr="008D0B8F" w:rsidRDefault="008D0B8F" w:rsidP="008D0B8F">
      <w:pPr>
        <w:jc w:val="both"/>
        <w:rPr>
          <w:rFonts w:eastAsia="SimSun"/>
          <w:b/>
          <w:bCs/>
          <w:color w:val="000000"/>
          <w:sz w:val="22"/>
          <w:szCs w:val="22"/>
        </w:rPr>
      </w:pPr>
      <w:r w:rsidRPr="008D0B8F">
        <w:rPr>
          <w:rFonts w:eastAsia="SimSun"/>
          <w:b/>
          <w:bCs/>
          <w:color w:val="000000"/>
          <w:sz w:val="22"/>
          <w:szCs w:val="22"/>
        </w:rPr>
        <w:t>About GeoVax</w:t>
      </w:r>
    </w:p>
    <w:p w14:paraId="3AE75105" w14:textId="77777777" w:rsidR="008D0B8F" w:rsidRPr="008D0B8F" w:rsidRDefault="008D0B8F" w:rsidP="008D0B8F">
      <w:pPr>
        <w:jc w:val="both"/>
        <w:rPr>
          <w:rFonts w:eastAsia="SimSun"/>
          <w:color w:val="000000"/>
          <w:sz w:val="22"/>
          <w:szCs w:val="22"/>
        </w:rPr>
      </w:pPr>
    </w:p>
    <w:p w14:paraId="571BF173" w14:textId="77777777" w:rsidR="008D0B8F" w:rsidRPr="008D0B8F" w:rsidRDefault="008D0B8F" w:rsidP="008D0B8F">
      <w:pPr>
        <w:widowControl w:val="0"/>
        <w:autoSpaceDE w:val="0"/>
        <w:autoSpaceDN w:val="0"/>
        <w:adjustRightInd w:val="0"/>
        <w:jc w:val="both"/>
        <w:rPr>
          <w:rFonts w:eastAsia="SimSun"/>
          <w:bCs/>
          <w:sz w:val="22"/>
          <w:szCs w:val="22"/>
        </w:rPr>
      </w:pPr>
      <w:r w:rsidRPr="008D0B8F">
        <w:rPr>
          <w:rFonts w:eastAsia="SimSun"/>
          <w:bCs/>
          <w:sz w:val="22"/>
          <w:szCs w:val="22"/>
        </w:rPr>
        <w:t xml:space="preserve">GeoVax Labs, Inc. is a clinical-stage biotechnology company developing human vaccines and immunotherapies against infectious diseases and cancer using novel proprietary platforms. </w:t>
      </w:r>
      <w:proofErr w:type="spellStart"/>
      <w:r w:rsidRPr="008D0B8F">
        <w:rPr>
          <w:rFonts w:eastAsia="SimSun"/>
          <w:bCs/>
          <w:sz w:val="22"/>
          <w:szCs w:val="22"/>
        </w:rPr>
        <w:t>GeoVax’s</w:t>
      </w:r>
      <w:proofErr w:type="spellEnd"/>
      <w:r w:rsidRPr="008D0B8F">
        <w:rPr>
          <w:rFonts w:eastAsia="SimSun"/>
          <w:bCs/>
          <w:sz w:val="22"/>
          <w:szCs w:val="22"/>
        </w:rPr>
        <w:t xml:space="preserve"> product pipeline includes two ongoing Phase 2 clinical trials of GEO-CM04S1 (formerly COH04S1) for COVID-19 as a universal booster vaccine to mRNA vaccines authorized by the U.S. Food and Drug Administration (FDA) and as a primary vaccine for use in immunocompromised patients. In addition to GEO-CM04S1 for COVID-19, GeoVax is developing GEO-CM02 as a pan-coronavirus vaccine. The Company is also conducting a Phase 1/2 clinical trial of </w:t>
      </w:r>
      <w:proofErr w:type="spellStart"/>
      <w:r w:rsidRPr="008D0B8F">
        <w:rPr>
          <w:rFonts w:eastAsia="SimSun"/>
          <w:bCs/>
          <w:sz w:val="22"/>
          <w:szCs w:val="22"/>
        </w:rPr>
        <w:t>Gedeptin</w:t>
      </w:r>
      <w:proofErr w:type="spellEnd"/>
      <w:r w:rsidRPr="008D0B8F">
        <w:rPr>
          <w:rFonts w:eastAsia="SimSun"/>
          <w:bCs/>
          <w:sz w:val="22"/>
          <w:szCs w:val="22"/>
          <w:vertAlign w:val="superscript"/>
        </w:rPr>
        <w:t>®</w:t>
      </w:r>
      <w:r w:rsidRPr="008D0B8F">
        <w:rPr>
          <w:rFonts w:eastAsia="SimSun"/>
          <w:bCs/>
          <w:sz w:val="22"/>
          <w:szCs w:val="22"/>
        </w:rPr>
        <w:t xml:space="preserve"> for treatment of head and neck cancer. </w:t>
      </w:r>
      <w:proofErr w:type="spellStart"/>
      <w:r w:rsidRPr="008D0B8F">
        <w:rPr>
          <w:rFonts w:eastAsia="SimSun"/>
          <w:bCs/>
          <w:sz w:val="22"/>
          <w:szCs w:val="22"/>
        </w:rPr>
        <w:t>Gedeptin</w:t>
      </w:r>
      <w:proofErr w:type="spellEnd"/>
      <w:r w:rsidRPr="008D0B8F">
        <w:rPr>
          <w:rFonts w:eastAsia="SimSun"/>
          <w:bCs/>
          <w:sz w:val="22"/>
          <w:szCs w:val="22"/>
          <w:vertAlign w:val="superscript"/>
        </w:rPr>
        <w:t>®</w:t>
      </w:r>
      <w:r w:rsidRPr="008D0B8F">
        <w:rPr>
          <w:rFonts w:eastAsia="SimSun"/>
          <w:bCs/>
          <w:sz w:val="22"/>
          <w:szCs w:val="22"/>
        </w:rPr>
        <w:t xml:space="preserve"> has been granted orphan drug status by the FDA. Additional research and development programs include preventive vaccines against Zika Virus, hemorrhagic fever viruses (Ebola, Sudan, Marburg, and Lassa) and malaria, as well as immunotherapies for multiple solid tumors. The Company’s portfolio of wholly owned, co-owned, and in-licensed intellectual property stands at over 70 granted or pending patent applications spread over 20 patent families.</w:t>
      </w:r>
    </w:p>
    <w:p w14:paraId="660AB14D" w14:textId="77777777" w:rsidR="008D0B8F" w:rsidRPr="008D0B8F" w:rsidRDefault="008D0B8F" w:rsidP="008D0B8F">
      <w:pPr>
        <w:widowControl w:val="0"/>
        <w:autoSpaceDE w:val="0"/>
        <w:autoSpaceDN w:val="0"/>
        <w:adjustRightInd w:val="0"/>
        <w:jc w:val="both"/>
        <w:rPr>
          <w:rFonts w:eastAsia="SimSun"/>
          <w:bCs/>
          <w:sz w:val="22"/>
          <w:szCs w:val="22"/>
        </w:rPr>
      </w:pPr>
    </w:p>
    <w:p w14:paraId="4340BFB9" w14:textId="77777777" w:rsidR="008D0B8F" w:rsidRPr="008D0B8F" w:rsidRDefault="008D0B8F" w:rsidP="008D0B8F">
      <w:pPr>
        <w:widowControl w:val="0"/>
        <w:autoSpaceDE w:val="0"/>
        <w:autoSpaceDN w:val="0"/>
        <w:adjustRightInd w:val="0"/>
        <w:jc w:val="both"/>
        <w:rPr>
          <w:rFonts w:eastAsia="SimSun"/>
          <w:bCs/>
          <w:sz w:val="22"/>
          <w:szCs w:val="22"/>
        </w:rPr>
      </w:pPr>
      <w:r w:rsidRPr="008D0B8F">
        <w:rPr>
          <w:rFonts w:eastAsia="SimSun"/>
          <w:bCs/>
          <w:sz w:val="22"/>
          <w:szCs w:val="22"/>
        </w:rPr>
        <w:t xml:space="preserve">For additional information about GeoVax, visit our website: </w:t>
      </w:r>
      <w:hyperlink r:id="rId9" w:history="1">
        <w:r w:rsidRPr="008D0B8F">
          <w:rPr>
            <w:rFonts w:eastAsia="SimSun"/>
            <w:bCs/>
            <w:color w:val="0000FF"/>
            <w:sz w:val="22"/>
            <w:szCs w:val="22"/>
            <w:u w:val="single"/>
          </w:rPr>
          <w:t>www.geovax.com</w:t>
        </w:r>
      </w:hyperlink>
      <w:r w:rsidRPr="008D0B8F">
        <w:rPr>
          <w:rFonts w:eastAsia="SimSun"/>
          <w:bCs/>
          <w:sz w:val="22"/>
          <w:szCs w:val="22"/>
        </w:rPr>
        <w:t>.</w:t>
      </w:r>
    </w:p>
    <w:p w14:paraId="2607F380" w14:textId="77777777" w:rsidR="008D0B8F" w:rsidRPr="008D0B8F" w:rsidRDefault="008D0B8F" w:rsidP="008D0B8F">
      <w:pPr>
        <w:widowControl w:val="0"/>
        <w:autoSpaceDE w:val="0"/>
        <w:autoSpaceDN w:val="0"/>
        <w:adjustRightInd w:val="0"/>
        <w:jc w:val="both"/>
        <w:outlineLvl w:val="0"/>
        <w:rPr>
          <w:rFonts w:eastAsia="SimSun"/>
          <w:b/>
          <w:i/>
          <w:sz w:val="22"/>
          <w:szCs w:val="22"/>
        </w:rPr>
      </w:pPr>
    </w:p>
    <w:p w14:paraId="1A15406E" w14:textId="77777777" w:rsidR="008D0B8F" w:rsidRPr="008D0B8F" w:rsidRDefault="008D0B8F" w:rsidP="008D0B8F">
      <w:pPr>
        <w:widowControl w:val="0"/>
        <w:autoSpaceDE w:val="0"/>
        <w:autoSpaceDN w:val="0"/>
        <w:adjustRightInd w:val="0"/>
        <w:jc w:val="both"/>
        <w:outlineLvl w:val="0"/>
        <w:rPr>
          <w:rFonts w:eastAsia="SimSun"/>
          <w:b/>
          <w:i/>
          <w:sz w:val="22"/>
          <w:szCs w:val="22"/>
        </w:rPr>
      </w:pPr>
      <w:r w:rsidRPr="008D0B8F">
        <w:rPr>
          <w:rFonts w:eastAsia="SimSun"/>
          <w:b/>
          <w:i/>
          <w:sz w:val="22"/>
          <w:szCs w:val="22"/>
        </w:rPr>
        <w:t>Forward-Looking Statements</w:t>
      </w:r>
    </w:p>
    <w:p w14:paraId="3C558804" w14:textId="77777777" w:rsidR="008D0B8F" w:rsidRPr="008D0B8F" w:rsidRDefault="008D0B8F" w:rsidP="008D0B8F">
      <w:pPr>
        <w:widowControl w:val="0"/>
        <w:shd w:val="clear" w:color="auto" w:fill="FFFFFF"/>
        <w:autoSpaceDE w:val="0"/>
        <w:autoSpaceDN w:val="0"/>
        <w:adjustRightInd w:val="0"/>
        <w:jc w:val="both"/>
        <w:rPr>
          <w:rFonts w:eastAsia="SimSun"/>
          <w:i/>
          <w:sz w:val="22"/>
          <w:szCs w:val="22"/>
        </w:rPr>
      </w:pPr>
    </w:p>
    <w:p w14:paraId="384FC2F1" w14:textId="77777777" w:rsidR="008D0B8F" w:rsidRPr="008D0B8F" w:rsidRDefault="008D0B8F" w:rsidP="008D0B8F">
      <w:pPr>
        <w:widowControl w:val="0"/>
        <w:shd w:val="clear" w:color="auto" w:fill="FFFFFF"/>
        <w:autoSpaceDE w:val="0"/>
        <w:autoSpaceDN w:val="0"/>
        <w:adjustRightInd w:val="0"/>
        <w:jc w:val="both"/>
        <w:rPr>
          <w:rFonts w:eastAsia="SimSun"/>
          <w:i/>
          <w:sz w:val="22"/>
          <w:szCs w:val="22"/>
        </w:rPr>
      </w:pPr>
      <w:r w:rsidRPr="008D0B8F">
        <w:rPr>
          <w:rFonts w:eastAsia="SimSun"/>
          <w:i/>
          <w:sz w:val="22"/>
          <w:szCs w:val="22"/>
        </w:rPr>
        <w:t xml:space="preserve">This release contains forward-looking statements regarding </w:t>
      </w:r>
      <w:proofErr w:type="spellStart"/>
      <w:r w:rsidRPr="008D0B8F">
        <w:rPr>
          <w:rFonts w:eastAsia="SimSun"/>
          <w:i/>
          <w:sz w:val="22"/>
          <w:szCs w:val="22"/>
        </w:rPr>
        <w:t>GeoVax’s</w:t>
      </w:r>
      <w:proofErr w:type="spellEnd"/>
      <w:r w:rsidRPr="008D0B8F">
        <w:rPr>
          <w:rFonts w:eastAsia="SimSun"/>
          <w:i/>
          <w:sz w:val="22"/>
          <w:szCs w:val="22"/>
        </w:rPr>
        <w:t xml:space="preserve">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w:t>
      </w:r>
      <w:r w:rsidRPr="008D0B8F">
        <w:rPr>
          <w:sz w:val="22"/>
          <w:szCs w:val="22"/>
        </w:rPr>
        <w:t xml:space="preserve"> </w:t>
      </w:r>
      <w:r w:rsidRPr="008D0B8F">
        <w:rPr>
          <w:rFonts w:eastAsia="SimSun"/>
          <w:i/>
          <w:sz w:val="22"/>
          <w:szCs w:val="22"/>
        </w:rPr>
        <w:t xml:space="preserve">obtain acceptable results from ongoing or future clinical trials of its investigational products, </w:t>
      </w:r>
      <w:proofErr w:type="spellStart"/>
      <w:r w:rsidRPr="008D0B8F">
        <w:rPr>
          <w:rFonts w:eastAsia="SimSun"/>
          <w:i/>
          <w:sz w:val="22"/>
          <w:szCs w:val="22"/>
        </w:rPr>
        <w:t>GeoVax’s</w:t>
      </w:r>
      <w:proofErr w:type="spellEnd"/>
      <w:r w:rsidRPr="008D0B8F">
        <w:rPr>
          <w:rFonts w:eastAsia="SimSun"/>
          <w:i/>
          <w:sz w:val="22"/>
          <w:szCs w:val="22"/>
        </w:rPr>
        <w:t xml:space="preserve"> immuno-oncology products and preventive vaccines can provoke the desired responses, and those products or vaccines can be used effectively, </w:t>
      </w:r>
      <w:proofErr w:type="spellStart"/>
      <w:r w:rsidRPr="008D0B8F">
        <w:rPr>
          <w:rFonts w:eastAsia="SimSun"/>
          <w:i/>
          <w:sz w:val="22"/>
          <w:szCs w:val="22"/>
        </w:rPr>
        <w:t>GeoVax’s</w:t>
      </w:r>
      <w:proofErr w:type="spellEnd"/>
      <w:r w:rsidRPr="008D0B8F">
        <w:rPr>
          <w:rFonts w:eastAsia="SimSun"/>
          <w:i/>
          <w:sz w:val="22"/>
          <w:szCs w:val="22"/>
        </w:rPr>
        <w:t xml:space="preserve"> viral vector technology adequately amplifies immune responses to cancer antigens, GeoVax can develop and manufacture its immuno-oncology products and preventive vaccines with the desired characteristics in a timely manner, </w:t>
      </w:r>
      <w:proofErr w:type="spellStart"/>
      <w:r w:rsidRPr="008D0B8F">
        <w:rPr>
          <w:rFonts w:eastAsia="SimSun"/>
          <w:i/>
          <w:sz w:val="22"/>
          <w:szCs w:val="22"/>
        </w:rPr>
        <w:t>GeoVax’s</w:t>
      </w:r>
      <w:proofErr w:type="spellEnd"/>
      <w:r w:rsidRPr="008D0B8F">
        <w:rPr>
          <w:rFonts w:eastAsia="SimSun"/>
          <w:i/>
          <w:sz w:val="22"/>
          <w:szCs w:val="22"/>
        </w:rPr>
        <w:t xml:space="preserve"> immuno-oncology products and preventive vaccines will be safe for human use, </w:t>
      </w:r>
      <w:proofErr w:type="spellStart"/>
      <w:r w:rsidRPr="008D0B8F">
        <w:rPr>
          <w:rFonts w:eastAsia="SimSun"/>
          <w:i/>
          <w:sz w:val="22"/>
          <w:szCs w:val="22"/>
        </w:rPr>
        <w:t>GeoVax’s</w:t>
      </w:r>
      <w:proofErr w:type="spellEnd"/>
      <w:r w:rsidRPr="008D0B8F">
        <w:rPr>
          <w:rFonts w:eastAsia="SimSun"/>
          <w:i/>
          <w:sz w:val="22"/>
          <w:szCs w:val="22"/>
        </w:rPr>
        <w:t xml:space="preserve"> vaccines will effectively prevent targeted infections in humans, </w:t>
      </w:r>
      <w:proofErr w:type="spellStart"/>
      <w:r w:rsidRPr="008D0B8F">
        <w:rPr>
          <w:rFonts w:eastAsia="SimSun"/>
          <w:i/>
          <w:sz w:val="22"/>
          <w:szCs w:val="22"/>
        </w:rPr>
        <w:t>GeoVax’s</w:t>
      </w:r>
      <w:proofErr w:type="spellEnd"/>
      <w:r w:rsidRPr="008D0B8F">
        <w:rPr>
          <w:rFonts w:eastAsia="SimSun"/>
          <w:i/>
          <w:sz w:val="22"/>
          <w:szCs w:val="22"/>
        </w:rPr>
        <w:t xml:space="preserve"> immuno-oncology products and preventive vaccines will receive regulatory approvals necessary to be licensed and marketed, GeoVax raises required capital to complete development, there is development of competitive products that may be more effective or easier to use than </w:t>
      </w:r>
      <w:proofErr w:type="spellStart"/>
      <w:r w:rsidRPr="008D0B8F">
        <w:rPr>
          <w:rFonts w:eastAsia="SimSun"/>
          <w:i/>
          <w:sz w:val="22"/>
          <w:szCs w:val="22"/>
        </w:rPr>
        <w:t>GeoVax’s</w:t>
      </w:r>
      <w:proofErr w:type="spellEnd"/>
      <w:r w:rsidRPr="008D0B8F">
        <w:rPr>
          <w:rFonts w:eastAsia="SimSun"/>
          <w:i/>
          <w:sz w:val="22"/>
          <w:szCs w:val="22"/>
        </w:rPr>
        <w:t xml:space="preserve"> products, GeoVax will be able to enter into favorable manufacturing and distribution agreements, and other factors, over which GeoVax has no control. </w:t>
      </w:r>
    </w:p>
    <w:p w14:paraId="66F667F2" w14:textId="77777777" w:rsidR="008D0B8F" w:rsidRPr="008D0B8F" w:rsidRDefault="008D0B8F" w:rsidP="008D0B8F">
      <w:pPr>
        <w:widowControl w:val="0"/>
        <w:shd w:val="clear" w:color="auto" w:fill="FFFFFF"/>
        <w:autoSpaceDE w:val="0"/>
        <w:autoSpaceDN w:val="0"/>
        <w:adjustRightInd w:val="0"/>
        <w:jc w:val="both"/>
        <w:rPr>
          <w:rFonts w:eastAsia="SimSun"/>
          <w:i/>
          <w:sz w:val="22"/>
          <w:szCs w:val="22"/>
        </w:rPr>
      </w:pPr>
    </w:p>
    <w:p w14:paraId="15FEAB4C" w14:textId="77777777" w:rsidR="008D0B8F" w:rsidRPr="008D0B8F" w:rsidRDefault="008D0B8F" w:rsidP="008D0B8F">
      <w:pPr>
        <w:widowControl w:val="0"/>
        <w:shd w:val="clear" w:color="auto" w:fill="FFFFFF"/>
        <w:autoSpaceDE w:val="0"/>
        <w:autoSpaceDN w:val="0"/>
        <w:adjustRightInd w:val="0"/>
        <w:jc w:val="both"/>
        <w:rPr>
          <w:rFonts w:eastAsia="SimSun"/>
          <w:i/>
          <w:sz w:val="22"/>
          <w:szCs w:val="22"/>
        </w:rPr>
      </w:pPr>
      <w:r w:rsidRPr="008D0B8F">
        <w:rPr>
          <w:rFonts w:eastAsia="SimSun"/>
          <w:i/>
          <w:sz w:val="22"/>
          <w:szCs w:val="22"/>
        </w:rPr>
        <w:t xml:space="preserve">Further information on our risk factors is contained in our registration statement on Form S-3 and the periodic reports on Form 10-Q and Form 10-K that we have filed and will file with the SEC. Any forward-looking statement made by us herein speaks only as of the date on which it is made. Factors or events that could cause </w:t>
      </w:r>
      <w:r w:rsidRPr="008D0B8F">
        <w:rPr>
          <w:rFonts w:eastAsia="SimSun"/>
          <w:i/>
          <w:sz w:val="22"/>
          <w:szCs w:val="22"/>
        </w:rPr>
        <w:lastRenderedPageBreak/>
        <w:t xml:space="preserve">our actual results to differ may emerge from time to time, and it is not possible for us to predict all of them. We undertake no obligation to publicly update any forward-looking statement, whether </w:t>
      </w:r>
      <w:proofErr w:type="gramStart"/>
      <w:r w:rsidRPr="008D0B8F">
        <w:rPr>
          <w:rFonts w:eastAsia="SimSun"/>
          <w:i/>
          <w:sz w:val="22"/>
          <w:szCs w:val="22"/>
        </w:rPr>
        <w:t>as a result of</w:t>
      </w:r>
      <w:proofErr w:type="gramEnd"/>
      <w:r w:rsidRPr="008D0B8F">
        <w:rPr>
          <w:rFonts w:eastAsia="SimSun"/>
          <w:i/>
          <w:sz w:val="22"/>
          <w:szCs w:val="22"/>
        </w:rPr>
        <w:t xml:space="preserve"> new information, future developments or otherwise, except as may be required by U.S. federal securities law.</w:t>
      </w:r>
      <w:r w:rsidRPr="008D0B8F">
        <w:rPr>
          <w:rFonts w:eastAsia="SimSun"/>
          <w:b/>
          <w:bCs/>
          <w:i/>
          <w:sz w:val="22"/>
          <w:szCs w:val="22"/>
        </w:rPr>
        <w:t> </w:t>
      </w:r>
    </w:p>
    <w:p w14:paraId="65FE4A2A" w14:textId="77777777" w:rsidR="008D0B8F" w:rsidRPr="008D0B8F" w:rsidRDefault="008D0B8F" w:rsidP="008D0B8F">
      <w:pPr>
        <w:rPr>
          <w:b/>
          <w:bCs/>
          <w:sz w:val="22"/>
          <w:szCs w:val="22"/>
        </w:rPr>
      </w:pPr>
    </w:p>
    <w:p w14:paraId="67701901" w14:textId="77777777" w:rsidR="008D0B8F" w:rsidRPr="008D0B8F" w:rsidRDefault="008D0B8F" w:rsidP="008D0B8F">
      <w:pPr>
        <w:rPr>
          <w:sz w:val="22"/>
          <w:szCs w:val="22"/>
        </w:rPr>
      </w:pPr>
      <w:r w:rsidRPr="008D0B8F">
        <w:rPr>
          <w:b/>
          <w:bCs/>
          <w:sz w:val="22"/>
          <w:szCs w:val="22"/>
        </w:rPr>
        <w:t>Contact:</w:t>
      </w:r>
    </w:p>
    <w:p w14:paraId="527C1CD8" w14:textId="77777777" w:rsidR="008D0B8F" w:rsidRPr="008D0B8F" w:rsidRDefault="008D0B8F" w:rsidP="008D0B8F">
      <w:pPr>
        <w:rPr>
          <w:sz w:val="22"/>
          <w:szCs w:val="22"/>
        </w:rPr>
      </w:pPr>
      <w:r w:rsidRPr="008D0B8F">
        <w:rPr>
          <w:sz w:val="22"/>
          <w:szCs w:val="22"/>
        </w:rPr>
        <w:t>GeoVax Labs, Inc.</w:t>
      </w:r>
    </w:p>
    <w:p w14:paraId="7E6B705E" w14:textId="77777777" w:rsidR="008D0B8F" w:rsidRPr="008D0B8F" w:rsidRDefault="008D0B8F" w:rsidP="008D0B8F">
      <w:pPr>
        <w:rPr>
          <w:sz w:val="22"/>
          <w:szCs w:val="22"/>
        </w:rPr>
      </w:pPr>
      <w:r w:rsidRPr="008D0B8F">
        <w:rPr>
          <w:sz w:val="22"/>
          <w:szCs w:val="22"/>
        </w:rPr>
        <w:t>investor@geovax.com</w:t>
      </w:r>
    </w:p>
    <w:p w14:paraId="7AC2C78C" w14:textId="77777777" w:rsidR="008D0B8F" w:rsidRPr="008D0B8F" w:rsidRDefault="008D0B8F" w:rsidP="008D0B8F">
      <w:pPr>
        <w:rPr>
          <w:sz w:val="22"/>
          <w:szCs w:val="22"/>
        </w:rPr>
      </w:pPr>
      <w:r w:rsidRPr="008D0B8F">
        <w:rPr>
          <w:sz w:val="22"/>
          <w:szCs w:val="22"/>
        </w:rPr>
        <w:t>678-384-7220</w:t>
      </w:r>
    </w:p>
    <w:p w14:paraId="1D6E3A60" w14:textId="77777777" w:rsidR="008D0B8F" w:rsidRPr="008D0B8F" w:rsidRDefault="008D0B8F" w:rsidP="008D0B8F">
      <w:pPr>
        <w:rPr>
          <w:sz w:val="22"/>
          <w:szCs w:val="22"/>
        </w:rPr>
      </w:pPr>
    </w:p>
    <w:p w14:paraId="28C239BC" w14:textId="77777777" w:rsidR="008D0B8F" w:rsidRPr="008D0B8F" w:rsidRDefault="008D0B8F" w:rsidP="008D0B8F">
      <w:pPr>
        <w:jc w:val="both"/>
        <w:rPr>
          <w:color w:val="000000"/>
          <w:szCs w:val="20"/>
        </w:rPr>
      </w:pPr>
    </w:p>
    <w:p w14:paraId="3E2DB85D" w14:textId="77777777" w:rsidR="008D0B8F" w:rsidRPr="008D0B8F" w:rsidRDefault="008D0B8F" w:rsidP="008D0B8F">
      <w:pPr>
        <w:jc w:val="both"/>
        <w:rPr>
          <w:color w:val="000000"/>
          <w:szCs w:val="20"/>
        </w:rPr>
      </w:pPr>
    </w:p>
    <w:p w14:paraId="7B06A42B" w14:textId="77777777" w:rsidR="008D0B8F" w:rsidRPr="008D0B8F" w:rsidRDefault="008D0B8F" w:rsidP="008D0B8F">
      <w:pPr>
        <w:jc w:val="both"/>
        <w:rPr>
          <w:color w:val="000000"/>
          <w:szCs w:val="20"/>
        </w:rPr>
      </w:pPr>
    </w:p>
    <w:p w14:paraId="48D50466" w14:textId="77777777" w:rsidR="008D0B8F" w:rsidRPr="008D0B8F" w:rsidRDefault="008D0B8F" w:rsidP="008D0B8F">
      <w:pPr>
        <w:rPr>
          <w:color w:val="000000"/>
          <w:szCs w:val="20"/>
        </w:rPr>
      </w:pPr>
      <w:r w:rsidRPr="008D0B8F">
        <w:rPr>
          <w:color w:val="000000"/>
          <w:szCs w:val="20"/>
        </w:rPr>
        <w:br w:type="page"/>
      </w:r>
    </w:p>
    <w:p w14:paraId="2F16A3C8" w14:textId="77777777" w:rsidR="008D0B8F" w:rsidRPr="008D0B8F" w:rsidRDefault="008D0B8F" w:rsidP="008D0B8F">
      <w:pPr>
        <w:jc w:val="both"/>
        <w:rPr>
          <w:color w:val="000000"/>
          <w:sz w:val="22"/>
          <w:szCs w:val="22"/>
        </w:rPr>
      </w:pPr>
    </w:p>
    <w:p w14:paraId="12960A9F" w14:textId="77777777" w:rsidR="008D0B8F" w:rsidRPr="008D0B8F" w:rsidRDefault="008D0B8F" w:rsidP="008D0B8F">
      <w:pPr>
        <w:jc w:val="both"/>
        <w:rPr>
          <w:color w:val="000000"/>
          <w:sz w:val="22"/>
          <w:szCs w:val="22"/>
        </w:rPr>
      </w:pPr>
    </w:p>
    <w:p w14:paraId="21223CDF" w14:textId="77777777" w:rsidR="008D0B8F" w:rsidRPr="008D0B8F" w:rsidRDefault="008D0B8F" w:rsidP="008D0B8F">
      <w:pPr>
        <w:jc w:val="both"/>
        <w:rPr>
          <w:color w:val="000000"/>
          <w:sz w:val="22"/>
          <w:szCs w:val="22"/>
        </w:rPr>
      </w:pPr>
      <w:r w:rsidRPr="008D0B8F">
        <w:rPr>
          <w:color w:val="000000"/>
          <w:sz w:val="22"/>
          <w:szCs w:val="22"/>
        </w:rPr>
        <w:t>January 4, 2022</w:t>
      </w:r>
    </w:p>
    <w:p w14:paraId="3985F8F3" w14:textId="77777777" w:rsidR="008D0B8F" w:rsidRPr="008D0B8F" w:rsidRDefault="008D0B8F" w:rsidP="008D0B8F">
      <w:pPr>
        <w:jc w:val="both"/>
        <w:rPr>
          <w:color w:val="000000"/>
          <w:sz w:val="22"/>
          <w:szCs w:val="22"/>
        </w:rPr>
      </w:pPr>
    </w:p>
    <w:p w14:paraId="63AC561F" w14:textId="77777777" w:rsidR="008D0B8F" w:rsidRPr="008D0B8F" w:rsidRDefault="008D0B8F" w:rsidP="008D0B8F">
      <w:pPr>
        <w:jc w:val="both"/>
        <w:rPr>
          <w:color w:val="000000"/>
          <w:sz w:val="22"/>
          <w:szCs w:val="22"/>
        </w:rPr>
      </w:pPr>
      <w:r w:rsidRPr="008D0B8F">
        <w:rPr>
          <w:color w:val="000000"/>
          <w:sz w:val="22"/>
          <w:szCs w:val="22"/>
        </w:rPr>
        <w:t>Dear Fellow Shareholders:</w:t>
      </w:r>
    </w:p>
    <w:p w14:paraId="6570C6EA" w14:textId="77777777" w:rsidR="008D0B8F" w:rsidRPr="008D0B8F" w:rsidRDefault="008D0B8F" w:rsidP="008D0B8F">
      <w:pPr>
        <w:jc w:val="both"/>
        <w:rPr>
          <w:color w:val="000000"/>
          <w:sz w:val="22"/>
          <w:szCs w:val="22"/>
        </w:rPr>
      </w:pPr>
    </w:p>
    <w:p w14:paraId="328BEF2D" w14:textId="77777777" w:rsidR="008D0B8F" w:rsidRPr="008D0B8F" w:rsidRDefault="008D0B8F" w:rsidP="008D0B8F">
      <w:pPr>
        <w:jc w:val="both"/>
        <w:rPr>
          <w:color w:val="000000"/>
          <w:sz w:val="22"/>
          <w:szCs w:val="22"/>
        </w:rPr>
      </w:pPr>
      <w:r w:rsidRPr="008D0B8F">
        <w:rPr>
          <w:color w:val="000000"/>
          <w:sz w:val="22"/>
          <w:szCs w:val="22"/>
        </w:rPr>
        <w:t xml:space="preserve">2021 has represented an outstanding year of progress for GeoVax.  Thank you for your continued support of </w:t>
      </w:r>
      <w:proofErr w:type="gramStart"/>
      <w:r w:rsidRPr="008D0B8F">
        <w:rPr>
          <w:color w:val="000000"/>
          <w:sz w:val="22"/>
          <w:szCs w:val="22"/>
        </w:rPr>
        <w:t>GeoVax, and</w:t>
      </w:r>
      <w:proofErr w:type="gramEnd"/>
      <w:r w:rsidRPr="008D0B8F">
        <w:rPr>
          <w:color w:val="000000"/>
          <w:sz w:val="22"/>
          <w:szCs w:val="22"/>
        </w:rPr>
        <w:t xml:space="preserve"> sharing in our efforts to advance the application of our expertise, science</w:t>
      </w:r>
      <w:r w:rsidRPr="008D0B8F">
        <w:rPr>
          <w:sz w:val="22"/>
          <w:szCs w:val="22"/>
        </w:rPr>
        <w:t xml:space="preserve">, </w:t>
      </w:r>
      <w:r w:rsidRPr="008D0B8F">
        <w:rPr>
          <w:color w:val="000000"/>
          <w:sz w:val="22"/>
          <w:szCs w:val="22"/>
        </w:rPr>
        <w:t xml:space="preserve">and technology towards improving the lives of millions worldwide.  </w:t>
      </w:r>
    </w:p>
    <w:p w14:paraId="3D6367F7" w14:textId="77777777" w:rsidR="008D0B8F" w:rsidRPr="008D0B8F" w:rsidRDefault="008D0B8F" w:rsidP="008D0B8F">
      <w:pPr>
        <w:jc w:val="both"/>
        <w:rPr>
          <w:color w:val="000000"/>
          <w:sz w:val="22"/>
          <w:szCs w:val="22"/>
        </w:rPr>
      </w:pPr>
    </w:p>
    <w:p w14:paraId="299847AC" w14:textId="77777777" w:rsidR="008D0B8F" w:rsidRPr="008D0B8F" w:rsidRDefault="008D0B8F" w:rsidP="008D0B8F">
      <w:pPr>
        <w:jc w:val="both"/>
        <w:rPr>
          <w:color w:val="000000"/>
          <w:sz w:val="22"/>
          <w:szCs w:val="22"/>
        </w:rPr>
      </w:pPr>
      <w:r w:rsidRPr="008D0B8F">
        <w:rPr>
          <w:color w:val="000000"/>
          <w:sz w:val="22"/>
          <w:szCs w:val="22"/>
        </w:rPr>
        <w:t>Heading into 2021, we established and communicated the following goals:</w:t>
      </w:r>
    </w:p>
    <w:p w14:paraId="52025C43" w14:textId="77777777" w:rsidR="008D0B8F" w:rsidRPr="008D0B8F" w:rsidRDefault="008D0B8F" w:rsidP="008D0B8F">
      <w:pPr>
        <w:rPr>
          <w:b/>
          <w:bCs/>
          <w:color w:val="000000"/>
          <w:sz w:val="22"/>
          <w:szCs w:val="22"/>
        </w:rPr>
      </w:pPr>
    </w:p>
    <w:p w14:paraId="3F9A5AD2" w14:textId="77777777" w:rsidR="008D0B8F" w:rsidRPr="008D0B8F" w:rsidRDefault="008D0B8F" w:rsidP="008D0B8F">
      <w:pPr>
        <w:rPr>
          <w:b/>
          <w:bCs/>
          <w:color w:val="000000"/>
          <w:sz w:val="22"/>
          <w:szCs w:val="22"/>
        </w:rPr>
      </w:pPr>
      <w:r w:rsidRPr="008D0B8F">
        <w:rPr>
          <w:b/>
          <w:bCs/>
          <w:color w:val="000000"/>
          <w:sz w:val="22"/>
          <w:szCs w:val="22"/>
        </w:rPr>
        <w:t>2021 GOALS</w:t>
      </w:r>
    </w:p>
    <w:p w14:paraId="1F9AF405" w14:textId="77777777" w:rsidR="008D0B8F" w:rsidRPr="008D0B8F" w:rsidRDefault="008D0B8F" w:rsidP="008D0B8F">
      <w:pPr>
        <w:rPr>
          <w:b/>
          <w:bCs/>
          <w:color w:val="000000"/>
          <w:sz w:val="22"/>
          <w:szCs w:val="22"/>
        </w:rPr>
      </w:pPr>
    </w:p>
    <w:p w14:paraId="16903378" w14:textId="77777777" w:rsidR="008D0B8F" w:rsidRPr="008D0B8F" w:rsidRDefault="008D0B8F" w:rsidP="008D0B8F">
      <w:pPr>
        <w:numPr>
          <w:ilvl w:val="0"/>
          <w:numId w:val="5"/>
        </w:numPr>
        <w:contextualSpacing/>
        <w:rPr>
          <w:b/>
          <w:bCs/>
          <w:color w:val="000000"/>
          <w:sz w:val="22"/>
          <w:szCs w:val="22"/>
        </w:rPr>
      </w:pPr>
      <w:r w:rsidRPr="008D0B8F">
        <w:rPr>
          <w:b/>
          <w:bCs/>
          <w:color w:val="000000"/>
          <w:sz w:val="22"/>
          <w:szCs w:val="22"/>
        </w:rPr>
        <w:t>Covid-19/SARS-CoV-2 Vaccine</w:t>
      </w:r>
    </w:p>
    <w:p w14:paraId="3513394B" w14:textId="77777777" w:rsidR="008D0B8F" w:rsidRPr="008D0B8F" w:rsidRDefault="008D0B8F" w:rsidP="008D0B8F">
      <w:pPr>
        <w:numPr>
          <w:ilvl w:val="1"/>
          <w:numId w:val="5"/>
        </w:numPr>
        <w:contextualSpacing/>
        <w:rPr>
          <w:color w:val="000000"/>
          <w:sz w:val="22"/>
          <w:szCs w:val="22"/>
        </w:rPr>
      </w:pPr>
      <w:r w:rsidRPr="008D0B8F">
        <w:rPr>
          <w:color w:val="000000"/>
          <w:sz w:val="22"/>
          <w:szCs w:val="22"/>
        </w:rPr>
        <w:t>Achieve clinical development status within 12-18 months</w:t>
      </w:r>
    </w:p>
    <w:p w14:paraId="3D89BCA6" w14:textId="77777777" w:rsidR="008D0B8F" w:rsidRPr="008D0B8F" w:rsidRDefault="008D0B8F" w:rsidP="008D0B8F">
      <w:pPr>
        <w:numPr>
          <w:ilvl w:val="0"/>
          <w:numId w:val="5"/>
        </w:numPr>
        <w:contextualSpacing/>
        <w:rPr>
          <w:b/>
          <w:bCs/>
          <w:color w:val="000000"/>
          <w:sz w:val="22"/>
          <w:szCs w:val="22"/>
        </w:rPr>
      </w:pPr>
      <w:r w:rsidRPr="008D0B8F">
        <w:rPr>
          <w:b/>
          <w:bCs/>
          <w:color w:val="000000"/>
          <w:sz w:val="22"/>
          <w:szCs w:val="22"/>
        </w:rPr>
        <w:t>Immuno-oncology</w:t>
      </w:r>
    </w:p>
    <w:p w14:paraId="6817144E" w14:textId="77777777" w:rsidR="008D0B8F" w:rsidRPr="008D0B8F" w:rsidRDefault="008D0B8F" w:rsidP="008D0B8F">
      <w:pPr>
        <w:numPr>
          <w:ilvl w:val="1"/>
          <w:numId w:val="5"/>
        </w:numPr>
        <w:contextualSpacing/>
        <w:rPr>
          <w:color w:val="000000"/>
          <w:sz w:val="22"/>
          <w:szCs w:val="22"/>
        </w:rPr>
      </w:pPr>
      <w:r w:rsidRPr="008D0B8F">
        <w:rPr>
          <w:color w:val="000000"/>
          <w:sz w:val="22"/>
          <w:szCs w:val="22"/>
        </w:rPr>
        <w:t>Achieve clinical development status within 12-18 months</w:t>
      </w:r>
    </w:p>
    <w:p w14:paraId="5872D2AB" w14:textId="77777777" w:rsidR="008D0B8F" w:rsidRPr="008D0B8F" w:rsidRDefault="008D0B8F" w:rsidP="008D0B8F">
      <w:pPr>
        <w:numPr>
          <w:ilvl w:val="0"/>
          <w:numId w:val="5"/>
        </w:numPr>
        <w:contextualSpacing/>
        <w:rPr>
          <w:b/>
          <w:bCs/>
          <w:color w:val="000000"/>
          <w:sz w:val="22"/>
          <w:szCs w:val="22"/>
          <w:lang w:val="es-ES"/>
        </w:rPr>
      </w:pPr>
      <w:proofErr w:type="spellStart"/>
      <w:r w:rsidRPr="008D0B8F">
        <w:rPr>
          <w:b/>
          <w:bCs/>
          <w:color w:val="000000"/>
          <w:sz w:val="22"/>
          <w:szCs w:val="22"/>
          <w:lang w:val="es-ES"/>
        </w:rPr>
        <w:t>Hemorrhagic</w:t>
      </w:r>
      <w:proofErr w:type="spellEnd"/>
      <w:r w:rsidRPr="008D0B8F">
        <w:rPr>
          <w:b/>
          <w:bCs/>
          <w:color w:val="000000"/>
          <w:sz w:val="22"/>
          <w:szCs w:val="22"/>
          <w:lang w:val="es-ES"/>
        </w:rPr>
        <w:t xml:space="preserve"> </w:t>
      </w:r>
      <w:proofErr w:type="spellStart"/>
      <w:r w:rsidRPr="008D0B8F">
        <w:rPr>
          <w:b/>
          <w:bCs/>
          <w:color w:val="000000"/>
          <w:sz w:val="22"/>
          <w:szCs w:val="22"/>
          <w:lang w:val="es-ES"/>
        </w:rPr>
        <w:t>fever</w:t>
      </w:r>
      <w:proofErr w:type="spellEnd"/>
      <w:r w:rsidRPr="008D0B8F">
        <w:rPr>
          <w:b/>
          <w:bCs/>
          <w:color w:val="000000"/>
          <w:sz w:val="22"/>
          <w:szCs w:val="22"/>
          <w:lang w:val="es-ES"/>
        </w:rPr>
        <w:t xml:space="preserve"> virus </w:t>
      </w:r>
      <w:proofErr w:type="spellStart"/>
      <w:r w:rsidRPr="008D0B8F">
        <w:rPr>
          <w:b/>
          <w:bCs/>
          <w:color w:val="000000"/>
          <w:sz w:val="22"/>
          <w:szCs w:val="22"/>
          <w:lang w:val="es-ES"/>
        </w:rPr>
        <w:t>vaccines</w:t>
      </w:r>
      <w:proofErr w:type="spellEnd"/>
      <w:r w:rsidRPr="008D0B8F">
        <w:rPr>
          <w:b/>
          <w:bCs/>
          <w:color w:val="000000"/>
          <w:sz w:val="22"/>
          <w:szCs w:val="22"/>
          <w:lang w:val="es-ES"/>
        </w:rPr>
        <w:t xml:space="preserve"> (</w:t>
      </w:r>
      <w:proofErr w:type="spellStart"/>
      <w:r w:rsidRPr="008D0B8F">
        <w:rPr>
          <w:b/>
          <w:bCs/>
          <w:color w:val="000000"/>
          <w:sz w:val="22"/>
          <w:szCs w:val="22"/>
          <w:lang w:val="es-ES"/>
        </w:rPr>
        <w:t>Ebola</w:t>
      </w:r>
      <w:proofErr w:type="spellEnd"/>
      <w:r w:rsidRPr="008D0B8F">
        <w:rPr>
          <w:b/>
          <w:bCs/>
          <w:color w:val="000000"/>
          <w:sz w:val="22"/>
          <w:szCs w:val="22"/>
          <w:lang w:val="es-ES"/>
        </w:rPr>
        <w:t>, Lassa, Marburg, Sudan)</w:t>
      </w:r>
    </w:p>
    <w:p w14:paraId="4808DE43" w14:textId="77777777" w:rsidR="008D0B8F" w:rsidRPr="008D0B8F" w:rsidRDefault="008D0B8F" w:rsidP="008D0B8F">
      <w:pPr>
        <w:numPr>
          <w:ilvl w:val="1"/>
          <w:numId w:val="5"/>
        </w:numPr>
        <w:contextualSpacing/>
        <w:rPr>
          <w:color w:val="000000"/>
          <w:sz w:val="22"/>
          <w:szCs w:val="22"/>
        </w:rPr>
      </w:pPr>
      <w:r w:rsidRPr="008D0B8F">
        <w:rPr>
          <w:color w:val="000000"/>
          <w:sz w:val="22"/>
          <w:szCs w:val="22"/>
        </w:rPr>
        <w:t>Support National Institutes of Health (NIH) Preclinical Services and Department of Defense (DoD) activities related to animal testing evaluations of GeoVax vaccines</w:t>
      </w:r>
    </w:p>
    <w:p w14:paraId="174378A6" w14:textId="77777777" w:rsidR="008D0B8F" w:rsidRPr="008D0B8F" w:rsidRDefault="008D0B8F" w:rsidP="008D0B8F">
      <w:pPr>
        <w:numPr>
          <w:ilvl w:val="0"/>
          <w:numId w:val="5"/>
        </w:numPr>
        <w:contextualSpacing/>
        <w:rPr>
          <w:color w:val="000000"/>
          <w:sz w:val="22"/>
          <w:szCs w:val="22"/>
        </w:rPr>
      </w:pPr>
      <w:r w:rsidRPr="008D0B8F">
        <w:rPr>
          <w:b/>
          <w:bCs/>
          <w:color w:val="000000"/>
          <w:sz w:val="22"/>
          <w:szCs w:val="22"/>
        </w:rPr>
        <w:t>Strengthen balance sheet</w:t>
      </w:r>
      <w:r w:rsidRPr="008D0B8F">
        <w:rPr>
          <w:color w:val="000000"/>
          <w:sz w:val="22"/>
          <w:szCs w:val="22"/>
        </w:rPr>
        <w:t xml:space="preserve"> in support of achieving 2021 goals and beyond</w:t>
      </w:r>
    </w:p>
    <w:p w14:paraId="127836A6" w14:textId="77777777" w:rsidR="008D0B8F" w:rsidRPr="008D0B8F" w:rsidRDefault="008D0B8F" w:rsidP="008D0B8F">
      <w:pPr>
        <w:numPr>
          <w:ilvl w:val="0"/>
          <w:numId w:val="5"/>
        </w:numPr>
        <w:contextualSpacing/>
        <w:rPr>
          <w:color w:val="000000"/>
          <w:sz w:val="22"/>
          <w:szCs w:val="22"/>
        </w:rPr>
      </w:pPr>
      <w:r w:rsidRPr="008D0B8F">
        <w:rPr>
          <w:b/>
          <w:bCs/>
          <w:color w:val="000000"/>
          <w:sz w:val="22"/>
          <w:szCs w:val="22"/>
        </w:rPr>
        <w:t>Strengthen resources and operations in support of our development goals</w:t>
      </w:r>
    </w:p>
    <w:p w14:paraId="28D53694" w14:textId="77777777" w:rsidR="008D0B8F" w:rsidRPr="008D0B8F" w:rsidRDefault="008D0B8F" w:rsidP="008D0B8F">
      <w:pPr>
        <w:jc w:val="both"/>
        <w:rPr>
          <w:color w:val="000000"/>
          <w:sz w:val="22"/>
          <w:szCs w:val="22"/>
        </w:rPr>
      </w:pPr>
    </w:p>
    <w:p w14:paraId="169B8F0E" w14:textId="77777777" w:rsidR="008D0B8F" w:rsidRPr="008D0B8F" w:rsidRDefault="008D0B8F" w:rsidP="008D0B8F">
      <w:pPr>
        <w:jc w:val="both"/>
        <w:rPr>
          <w:color w:val="000000"/>
          <w:sz w:val="22"/>
          <w:szCs w:val="22"/>
        </w:rPr>
      </w:pPr>
      <w:r w:rsidRPr="008D0B8F">
        <w:rPr>
          <w:color w:val="000000"/>
          <w:sz w:val="22"/>
          <w:szCs w:val="22"/>
        </w:rPr>
        <w:t>In this message, I wish to highlight significant accomplishments achieved in support of our 2021 goals, while also outlining our goals and milestones set for 2022.</w:t>
      </w:r>
    </w:p>
    <w:p w14:paraId="68CBC3E8" w14:textId="77777777" w:rsidR="008D0B8F" w:rsidRPr="008D0B8F" w:rsidRDefault="008D0B8F" w:rsidP="008D0B8F">
      <w:pPr>
        <w:jc w:val="both"/>
        <w:rPr>
          <w:color w:val="000000"/>
          <w:sz w:val="22"/>
          <w:szCs w:val="22"/>
        </w:rPr>
      </w:pPr>
    </w:p>
    <w:p w14:paraId="6C27817B" w14:textId="77777777" w:rsidR="008D0B8F" w:rsidRPr="008D0B8F" w:rsidRDefault="008D0B8F" w:rsidP="008D0B8F">
      <w:pPr>
        <w:rPr>
          <w:b/>
          <w:bCs/>
          <w:color w:val="000000"/>
          <w:sz w:val="22"/>
          <w:szCs w:val="22"/>
        </w:rPr>
      </w:pPr>
      <w:r w:rsidRPr="008D0B8F">
        <w:rPr>
          <w:b/>
          <w:bCs/>
          <w:color w:val="000000"/>
          <w:sz w:val="22"/>
          <w:szCs w:val="22"/>
        </w:rPr>
        <w:t xml:space="preserve">2021 </w:t>
      </w:r>
      <w:r w:rsidRPr="008D0B8F">
        <w:rPr>
          <w:b/>
          <w:bCs/>
          <w:caps/>
          <w:color w:val="000000"/>
          <w:sz w:val="22"/>
          <w:szCs w:val="22"/>
        </w:rPr>
        <w:t>Achievements</w:t>
      </w:r>
      <w:r w:rsidRPr="008D0B8F">
        <w:rPr>
          <w:b/>
          <w:bCs/>
          <w:color w:val="000000"/>
          <w:sz w:val="22"/>
          <w:szCs w:val="22"/>
        </w:rPr>
        <w:t xml:space="preserve">  </w:t>
      </w:r>
    </w:p>
    <w:p w14:paraId="429F4298" w14:textId="77777777" w:rsidR="008D0B8F" w:rsidRPr="008D0B8F" w:rsidRDefault="008D0B8F" w:rsidP="008D0B8F">
      <w:pPr>
        <w:jc w:val="center"/>
        <w:rPr>
          <w:b/>
          <w:bCs/>
          <w:color w:val="000000"/>
          <w:sz w:val="22"/>
          <w:szCs w:val="22"/>
          <w:u w:val="single"/>
        </w:rPr>
      </w:pPr>
    </w:p>
    <w:p w14:paraId="72CAA53F" w14:textId="77777777" w:rsidR="008D0B8F" w:rsidRPr="008D0B8F" w:rsidRDefault="008D0B8F" w:rsidP="008D0B8F">
      <w:pPr>
        <w:rPr>
          <w:b/>
          <w:bCs/>
          <w:color w:val="000000"/>
          <w:sz w:val="22"/>
          <w:szCs w:val="22"/>
          <w:u w:val="single"/>
        </w:rPr>
      </w:pPr>
      <w:r w:rsidRPr="008D0B8F">
        <w:rPr>
          <w:b/>
          <w:bCs/>
          <w:color w:val="000000"/>
          <w:sz w:val="22"/>
          <w:szCs w:val="22"/>
          <w:u w:val="single"/>
        </w:rPr>
        <w:t>Goal Achievement #1</w:t>
      </w:r>
    </w:p>
    <w:p w14:paraId="63324E88" w14:textId="77777777" w:rsidR="008D0B8F" w:rsidRPr="008D0B8F" w:rsidRDefault="008D0B8F" w:rsidP="008D0B8F">
      <w:pPr>
        <w:jc w:val="center"/>
        <w:rPr>
          <w:b/>
          <w:bCs/>
          <w:color w:val="000000"/>
          <w:sz w:val="22"/>
          <w:szCs w:val="22"/>
        </w:rPr>
      </w:pPr>
    </w:p>
    <w:p w14:paraId="1BFB9FEF" w14:textId="77777777" w:rsidR="008D0B8F" w:rsidRPr="008D0B8F" w:rsidRDefault="008D0B8F" w:rsidP="008D0B8F">
      <w:pPr>
        <w:rPr>
          <w:color w:val="000000"/>
          <w:sz w:val="22"/>
          <w:szCs w:val="22"/>
        </w:rPr>
      </w:pPr>
      <w:r w:rsidRPr="008D0B8F">
        <w:rPr>
          <w:b/>
          <w:bCs/>
          <w:color w:val="000000"/>
          <w:sz w:val="22"/>
          <w:szCs w:val="22"/>
        </w:rPr>
        <w:t>Covid-19 vaccine: Advancing into Phase 2 Clinical Development and Potentially a Single-dose, Durable Coronavirus Vaccine</w:t>
      </w:r>
    </w:p>
    <w:p w14:paraId="1F335637" w14:textId="77777777" w:rsidR="008D0B8F" w:rsidRPr="008D0B8F" w:rsidRDefault="008D0B8F" w:rsidP="008D0B8F">
      <w:pPr>
        <w:jc w:val="both"/>
        <w:rPr>
          <w:color w:val="000000"/>
          <w:sz w:val="22"/>
          <w:szCs w:val="22"/>
        </w:rPr>
      </w:pPr>
    </w:p>
    <w:p w14:paraId="0F7F2CE9" w14:textId="77777777" w:rsidR="008D0B8F" w:rsidRPr="008D0B8F" w:rsidRDefault="008D0B8F" w:rsidP="008D0B8F">
      <w:pPr>
        <w:jc w:val="both"/>
        <w:rPr>
          <w:color w:val="000000"/>
          <w:sz w:val="22"/>
          <w:szCs w:val="22"/>
        </w:rPr>
      </w:pPr>
      <w:r w:rsidRPr="008D0B8F">
        <w:rPr>
          <w:color w:val="000000"/>
          <w:sz w:val="22"/>
          <w:szCs w:val="22"/>
        </w:rPr>
        <w:t xml:space="preserve">As a result of the exclusive license of </w:t>
      </w:r>
      <w:r w:rsidRPr="008D0B8F">
        <w:rPr>
          <w:b/>
          <w:bCs/>
          <w:color w:val="000000"/>
          <w:sz w:val="22"/>
          <w:szCs w:val="22"/>
        </w:rPr>
        <w:t>GEO-CM04S1</w:t>
      </w:r>
      <w:r w:rsidRPr="008D0B8F">
        <w:rPr>
          <w:color w:val="000000"/>
          <w:sz w:val="22"/>
          <w:szCs w:val="22"/>
        </w:rPr>
        <w:t xml:space="preserve"> (formerly COH04S1) executed with City of Hope, we have </w:t>
      </w:r>
      <w:r w:rsidRPr="008D0B8F">
        <w:rPr>
          <w:b/>
          <w:bCs/>
          <w:color w:val="000000"/>
          <w:sz w:val="22"/>
          <w:szCs w:val="22"/>
        </w:rPr>
        <w:t>two Phase 2 clinical trials underway</w:t>
      </w:r>
      <w:r w:rsidRPr="008D0B8F">
        <w:rPr>
          <w:color w:val="000000"/>
          <w:sz w:val="22"/>
          <w:szCs w:val="22"/>
        </w:rPr>
        <w:t xml:space="preserve"> related to Covid-19:</w:t>
      </w:r>
    </w:p>
    <w:p w14:paraId="1CEAB193" w14:textId="77777777" w:rsidR="008D0B8F" w:rsidRPr="008D0B8F" w:rsidRDefault="008D0B8F" w:rsidP="008D0B8F">
      <w:pPr>
        <w:jc w:val="both"/>
        <w:rPr>
          <w:color w:val="000000"/>
          <w:sz w:val="22"/>
          <w:szCs w:val="22"/>
        </w:rPr>
      </w:pPr>
    </w:p>
    <w:p w14:paraId="72AB2074" w14:textId="77777777" w:rsidR="008D0B8F" w:rsidRPr="008D0B8F" w:rsidRDefault="008D0B8F" w:rsidP="008D0B8F">
      <w:pPr>
        <w:numPr>
          <w:ilvl w:val="0"/>
          <w:numId w:val="3"/>
        </w:numPr>
        <w:ind w:left="360"/>
        <w:contextualSpacing/>
        <w:jc w:val="both"/>
        <w:rPr>
          <w:color w:val="000000"/>
          <w:sz w:val="22"/>
          <w:szCs w:val="22"/>
        </w:rPr>
      </w:pPr>
      <w:r w:rsidRPr="008D0B8F">
        <w:rPr>
          <w:color w:val="000000"/>
          <w:sz w:val="22"/>
          <w:szCs w:val="22"/>
        </w:rPr>
        <w:t xml:space="preserve">Phase 2 trial among </w:t>
      </w:r>
      <w:r w:rsidRPr="008D0B8F">
        <w:rPr>
          <w:b/>
          <w:bCs/>
          <w:color w:val="000000"/>
          <w:sz w:val="22"/>
          <w:szCs w:val="22"/>
        </w:rPr>
        <w:t>immunocompromised patients</w:t>
      </w:r>
      <w:r w:rsidRPr="008D0B8F">
        <w:rPr>
          <w:color w:val="000000"/>
          <w:sz w:val="22"/>
          <w:szCs w:val="22"/>
        </w:rPr>
        <w:t xml:space="preserve">, directly comparing to the Pfizer/BioNTech mRNA </w:t>
      </w:r>
      <w:proofErr w:type="gramStart"/>
      <w:r w:rsidRPr="008D0B8F">
        <w:rPr>
          <w:color w:val="000000"/>
          <w:sz w:val="22"/>
          <w:szCs w:val="22"/>
        </w:rPr>
        <w:t>vaccine;</w:t>
      </w:r>
      <w:proofErr w:type="gramEnd"/>
    </w:p>
    <w:p w14:paraId="2A08E9FE" w14:textId="77777777" w:rsidR="008D0B8F" w:rsidRPr="008D0B8F" w:rsidRDefault="008D0B8F" w:rsidP="008D0B8F">
      <w:pPr>
        <w:numPr>
          <w:ilvl w:val="1"/>
          <w:numId w:val="3"/>
        </w:numPr>
        <w:ind w:left="720"/>
        <w:contextualSpacing/>
        <w:jc w:val="both"/>
        <w:rPr>
          <w:color w:val="000000"/>
          <w:sz w:val="22"/>
          <w:szCs w:val="22"/>
        </w:rPr>
      </w:pPr>
      <w:r w:rsidRPr="008D0B8F">
        <w:rPr>
          <w:color w:val="000000"/>
          <w:sz w:val="22"/>
          <w:szCs w:val="22"/>
        </w:rPr>
        <w:t xml:space="preserve">This is the first trial to be conducted among a patient population with weakened immune systems </w:t>
      </w:r>
      <w:proofErr w:type="gramStart"/>
      <w:r w:rsidRPr="008D0B8F">
        <w:rPr>
          <w:color w:val="000000"/>
          <w:sz w:val="22"/>
          <w:szCs w:val="22"/>
        </w:rPr>
        <w:t>as a result of</w:t>
      </w:r>
      <w:proofErr w:type="gramEnd"/>
      <w:r w:rsidRPr="008D0B8F">
        <w:rPr>
          <w:color w:val="000000"/>
          <w:sz w:val="22"/>
          <w:szCs w:val="22"/>
        </w:rPr>
        <w:t xml:space="preserve"> cancer therapy.  In this trial, we are conducting a direct comparison of GEO-CM04S1 to the Pfizer/BioNTech mRNA vaccine. We believe that our vaccine, eliciting both T-cell and antibody immunity, has the potential to provide better and more durable protection versus a vaccine that elicits primarily only antibody immunity.  We also believe that the current vaccines, based on mRNA and adenovirus vaccine platforms, may be less effective and protective within immunocompromised populations. We believe that our approach of eliciting both T-cell and antibody immunity against multiple viral proteins may prove to be more potent and may provide better and more durable protection to such populations.</w:t>
      </w:r>
    </w:p>
    <w:p w14:paraId="330585D3" w14:textId="77777777" w:rsidR="008D0B8F" w:rsidRPr="008D0B8F" w:rsidRDefault="008D0B8F" w:rsidP="008D0B8F">
      <w:pPr>
        <w:numPr>
          <w:ilvl w:val="0"/>
          <w:numId w:val="3"/>
        </w:numPr>
        <w:ind w:left="360"/>
        <w:contextualSpacing/>
        <w:jc w:val="both"/>
        <w:rPr>
          <w:color w:val="000000"/>
          <w:sz w:val="22"/>
          <w:szCs w:val="22"/>
        </w:rPr>
      </w:pPr>
      <w:r w:rsidRPr="008D0B8F">
        <w:rPr>
          <w:color w:val="000000"/>
          <w:sz w:val="22"/>
          <w:szCs w:val="22"/>
        </w:rPr>
        <w:t xml:space="preserve">Phase 2 trial among healthy volunteers as a </w:t>
      </w:r>
      <w:r w:rsidRPr="008D0B8F">
        <w:rPr>
          <w:b/>
          <w:bCs/>
          <w:color w:val="000000"/>
          <w:sz w:val="22"/>
          <w:szCs w:val="22"/>
        </w:rPr>
        <w:t>booster</w:t>
      </w:r>
      <w:r w:rsidRPr="008D0B8F">
        <w:rPr>
          <w:color w:val="000000"/>
          <w:sz w:val="22"/>
          <w:szCs w:val="22"/>
        </w:rPr>
        <w:t xml:space="preserve"> to individuals fully vaccinated with a mRNA vaccine (i.e., two-shot regimen</w:t>
      </w:r>
      <w:proofErr w:type="gramStart"/>
      <w:r w:rsidRPr="008D0B8F">
        <w:rPr>
          <w:color w:val="000000"/>
          <w:sz w:val="22"/>
          <w:szCs w:val="22"/>
        </w:rPr>
        <w:t>);</w:t>
      </w:r>
      <w:proofErr w:type="gramEnd"/>
    </w:p>
    <w:p w14:paraId="75EBAD3E" w14:textId="77777777" w:rsidR="008D0B8F" w:rsidRPr="008D0B8F" w:rsidRDefault="008D0B8F" w:rsidP="008D0B8F">
      <w:pPr>
        <w:numPr>
          <w:ilvl w:val="1"/>
          <w:numId w:val="3"/>
        </w:numPr>
        <w:ind w:left="720"/>
        <w:contextualSpacing/>
        <w:jc w:val="both"/>
        <w:rPr>
          <w:color w:val="000000"/>
          <w:sz w:val="22"/>
          <w:szCs w:val="22"/>
        </w:rPr>
      </w:pPr>
      <w:r w:rsidRPr="008D0B8F">
        <w:rPr>
          <w:color w:val="000000"/>
          <w:sz w:val="22"/>
          <w:szCs w:val="22"/>
        </w:rPr>
        <w:t>We also believe that GEO-CM04S1, which is designed to elicit both T-cell and antibody immunity, has the potential to provide broader protection and durability as a booster to mRNA vaccines versus simply providing a 3</w:t>
      </w:r>
      <w:r w:rsidRPr="008D0B8F">
        <w:rPr>
          <w:color w:val="000000"/>
          <w:sz w:val="22"/>
          <w:szCs w:val="22"/>
          <w:vertAlign w:val="superscript"/>
        </w:rPr>
        <w:t>rd</w:t>
      </w:r>
      <w:r w:rsidRPr="008D0B8F">
        <w:rPr>
          <w:color w:val="000000"/>
          <w:sz w:val="22"/>
          <w:szCs w:val="22"/>
        </w:rPr>
        <w:t xml:space="preserve"> or 4</w:t>
      </w:r>
      <w:r w:rsidRPr="008D0B8F">
        <w:rPr>
          <w:color w:val="000000"/>
          <w:sz w:val="22"/>
          <w:szCs w:val="22"/>
          <w:vertAlign w:val="superscript"/>
        </w:rPr>
        <w:t>th</w:t>
      </w:r>
      <w:r w:rsidRPr="008D0B8F">
        <w:rPr>
          <w:color w:val="000000"/>
          <w:sz w:val="22"/>
          <w:szCs w:val="22"/>
        </w:rPr>
        <w:t xml:space="preserve"> mRNA dose, which was designed primarily to induce neutralizing antibodies.</w:t>
      </w:r>
    </w:p>
    <w:p w14:paraId="6D620933" w14:textId="77777777" w:rsidR="008D0B8F" w:rsidRPr="008D0B8F" w:rsidRDefault="008D0B8F" w:rsidP="008D0B8F">
      <w:pPr>
        <w:jc w:val="both"/>
        <w:rPr>
          <w:color w:val="000000"/>
          <w:sz w:val="22"/>
          <w:szCs w:val="22"/>
        </w:rPr>
      </w:pPr>
    </w:p>
    <w:p w14:paraId="6507D619" w14:textId="77777777" w:rsidR="008D0B8F" w:rsidRPr="008D0B8F" w:rsidRDefault="008D0B8F" w:rsidP="008D0B8F">
      <w:pPr>
        <w:jc w:val="both"/>
        <w:rPr>
          <w:color w:val="000000"/>
          <w:sz w:val="22"/>
          <w:szCs w:val="22"/>
        </w:rPr>
      </w:pPr>
      <w:r w:rsidRPr="008D0B8F">
        <w:rPr>
          <w:color w:val="000000"/>
          <w:sz w:val="22"/>
          <w:szCs w:val="22"/>
        </w:rPr>
        <w:lastRenderedPageBreak/>
        <w:t xml:space="preserve">In general, we believe that </w:t>
      </w:r>
      <w:r w:rsidRPr="008D0B8F">
        <w:rPr>
          <w:b/>
          <w:bCs/>
          <w:color w:val="000000"/>
          <w:sz w:val="22"/>
          <w:szCs w:val="22"/>
        </w:rPr>
        <w:t>GEO-CM04S1</w:t>
      </w:r>
      <w:r w:rsidRPr="008D0B8F">
        <w:rPr>
          <w:color w:val="000000"/>
          <w:sz w:val="22"/>
          <w:szCs w:val="22"/>
        </w:rPr>
        <w:t xml:space="preserve"> provides a differentiated opportunity as a </w:t>
      </w:r>
      <w:r w:rsidRPr="008D0B8F">
        <w:rPr>
          <w:b/>
          <w:bCs/>
          <w:color w:val="000000"/>
          <w:sz w:val="22"/>
          <w:szCs w:val="22"/>
        </w:rPr>
        <w:t>vaccine against variants</w:t>
      </w:r>
      <w:r w:rsidRPr="008D0B8F">
        <w:rPr>
          <w:color w:val="000000"/>
          <w:sz w:val="22"/>
          <w:szCs w:val="22"/>
        </w:rPr>
        <w:t xml:space="preserve"> (i.e., Omicron) versus the concept of “chasing the variants.”</w:t>
      </w:r>
    </w:p>
    <w:p w14:paraId="78AD5E90" w14:textId="77777777" w:rsidR="008D0B8F" w:rsidRPr="008D0B8F" w:rsidRDefault="008D0B8F" w:rsidP="008D0B8F">
      <w:pPr>
        <w:numPr>
          <w:ilvl w:val="1"/>
          <w:numId w:val="3"/>
        </w:numPr>
        <w:ind w:left="720"/>
        <w:contextualSpacing/>
        <w:jc w:val="both"/>
        <w:rPr>
          <w:i/>
          <w:iCs/>
          <w:color w:val="000000"/>
          <w:sz w:val="22"/>
          <w:szCs w:val="22"/>
        </w:rPr>
      </w:pPr>
      <w:r w:rsidRPr="008D0B8F">
        <w:rPr>
          <w:color w:val="000000"/>
          <w:sz w:val="22"/>
          <w:szCs w:val="22"/>
        </w:rPr>
        <w:t xml:space="preserve">GEO-CM04S1 is designed to elicit both T-cell and antibody immunity by incorporating a multi-antigen design targeting both the spike (S) and nucleocapsid (N) proteins of the SARS-CoV-2 virus.  We believe that this multi-antigen approach may provide broader and more durable protection than a single-antigen vaccine design.  </w:t>
      </w:r>
      <w:r w:rsidRPr="008D0B8F">
        <w:rPr>
          <w:i/>
          <w:iCs/>
          <w:color w:val="000000"/>
          <w:sz w:val="22"/>
          <w:szCs w:val="22"/>
        </w:rPr>
        <w:t>In simple terms, we believe our vaccine has a better chance of addressing the issues and dangers of evolving variants of concern, which we expect will continue to emerge.</w:t>
      </w:r>
    </w:p>
    <w:p w14:paraId="2E11A037" w14:textId="77777777" w:rsidR="008D0B8F" w:rsidRPr="008D0B8F" w:rsidRDefault="008D0B8F" w:rsidP="008D0B8F">
      <w:pPr>
        <w:jc w:val="both"/>
        <w:rPr>
          <w:color w:val="000000"/>
          <w:sz w:val="22"/>
          <w:szCs w:val="22"/>
        </w:rPr>
      </w:pPr>
    </w:p>
    <w:p w14:paraId="753C3904" w14:textId="77777777" w:rsidR="008D0B8F" w:rsidRPr="008D0B8F" w:rsidRDefault="008D0B8F" w:rsidP="008D0B8F">
      <w:pPr>
        <w:jc w:val="both"/>
        <w:rPr>
          <w:color w:val="000000"/>
          <w:sz w:val="22"/>
          <w:szCs w:val="22"/>
        </w:rPr>
      </w:pPr>
      <w:r w:rsidRPr="008D0B8F">
        <w:rPr>
          <w:color w:val="000000"/>
          <w:sz w:val="22"/>
          <w:szCs w:val="22"/>
        </w:rPr>
        <w:t xml:space="preserve">Further strengthening our Covid-19 vaccine portfolio is </w:t>
      </w:r>
      <w:r w:rsidRPr="008D0B8F">
        <w:rPr>
          <w:b/>
          <w:bCs/>
          <w:color w:val="000000"/>
          <w:sz w:val="22"/>
          <w:szCs w:val="22"/>
        </w:rPr>
        <w:t>GEO-CM02</w:t>
      </w:r>
      <w:r w:rsidRPr="008D0B8F">
        <w:rPr>
          <w:color w:val="000000"/>
          <w:sz w:val="22"/>
          <w:szCs w:val="22"/>
        </w:rPr>
        <w:t xml:space="preserve">, a potential </w:t>
      </w:r>
      <w:r w:rsidRPr="008D0B8F">
        <w:rPr>
          <w:b/>
          <w:bCs/>
          <w:color w:val="000000"/>
          <w:sz w:val="22"/>
          <w:szCs w:val="22"/>
        </w:rPr>
        <w:t>universal coronavirus vaccine that could be effective against multiple variants</w:t>
      </w:r>
      <w:r w:rsidRPr="008D0B8F">
        <w:rPr>
          <w:color w:val="000000"/>
          <w:sz w:val="22"/>
          <w:szCs w:val="22"/>
        </w:rPr>
        <w:t>, which is showing promise in animal testing.</w:t>
      </w:r>
    </w:p>
    <w:p w14:paraId="226442E5" w14:textId="77777777" w:rsidR="008D0B8F" w:rsidRPr="008D0B8F" w:rsidRDefault="008D0B8F" w:rsidP="008D0B8F">
      <w:pPr>
        <w:numPr>
          <w:ilvl w:val="0"/>
          <w:numId w:val="4"/>
        </w:numPr>
        <w:contextualSpacing/>
        <w:jc w:val="both"/>
        <w:rPr>
          <w:color w:val="000000"/>
          <w:sz w:val="22"/>
          <w:szCs w:val="22"/>
        </w:rPr>
      </w:pPr>
      <w:r w:rsidRPr="008D0B8F">
        <w:rPr>
          <w:color w:val="000000"/>
          <w:sz w:val="22"/>
          <w:szCs w:val="22"/>
        </w:rPr>
        <w:t>We designed GEO-CM02 to incorporate three critical proteins to support the in vivo formation of highly immunogenic VLPs (Virus-Like-Particles) intended to elicit both an antibody immune response targeting the S protein and a T-cell immune response targeting the membrane (M) and envelope (E)proteins. Promising animal results were reviewed during the 2021 World Vaccine &amp; Immunotherapy Conference, demonstrating protection with a single dose and protection against the Beta variant.  Our focus with this program is towards a single-dose, durable universal coronavirus vaccine that could be effective against multiple variants and that can be distributed and administered without requiring extreme refrigeration or frozen state delivery.</w:t>
      </w:r>
    </w:p>
    <w:p w14:paraId="7B670927" w14:textId="77777777" w:rsidR="008D0B8F" w:rsidRPr="008D0B8F" w:rsidRDefault="008D0B8F" w:rsidP="008D0B8F">
      <w:pPr>
        <w:jc w:val="both"/>
        <w:rPr>
          <w:color w:val="000000"/>
          <w:sz w:val="22"/>
          <w:szCs w:val="22"/>
        </w:rPr>
      </w:pPr>
    </w:p>
    <w:p w14:paraId="3AD725B0" w14:textId="77777777" w:rsidR="008D0B8F" w:rsidRPr="008D0B8F" w:rsidRDefault="008D0B8F" w:rsidP="008D0B8F">
      <w:pPr>
        <w:rPr>
          <w:b/>
          <w:bCs/>
          <w:color w:val="000000"/>
          <w:sz w:val="22"/>
          <w:szCs w:val="22"/>
          <w:u w:val="single"/>
        </w:rPr>
      </w:pPr>
      <w:r w:rsidRPr="008D0B8F">
        <w:rPr>
          <w:b/>
          <w:bCs/>
          <w:color w:val="000000"/>
          <w:sz w:val="22"/>
          <w:szCs w:val="22"/>
          <w:u w:val="single"/>
        </w:rPr>
        <w:t>Goal Achievement #2</w:t>
      </w:r>
    </w:p>
    <w:p w14:paraId="6ACDA8FA" w14:textId="77777777" w:rsidR="008D0B8F" w:rsidRPr="008D0B8F" w:rsidRDefault="008D0B8F" w:rsidP="008D0B8F">
      <w:pPr>
        <w:jc w:val="center"/>
        <w:rPr>
          <w:b/>
          <w:bCs/>
          <w:color w:val="000000"/>
          <w:sz w:val="22"/>
          <w:szCs w:val="22"/>
          <w:u w:val="single"/>
        </w:rPr>
      </w:pPr>
    </w:p>
    <w:p w14:paraId="6ED86911" w14:textId="77777777" w:rsidR="008D0B8F" w:rsidRPr="008D0B8F" w:rsidRDefault="008D0B8F" w:rsidP="008D0B8F">
      <w:pPr>
        <w:rPr>
          <w:b/>
          <w:bCs/>
          <w:color w:val="000000"/>
          <w:sz w:val="22"/>
          <w:szCs w:val="22"/>
        </w:rPr>
      </w:pPr>
      <w:r w:rsidRPr="008D0B8F">
        <w:rPr>
          <w:b/>
          <w:bCs/>
          <w:color w:val="000000"/>
          <w:sz w:val="22"/>
          <w:szCs w:val="22"/>
        </w:rPr>
        <w:t xml:space="preserve">Immuno-oncology: Phase 2 Clinical Development of </w:t>
      </w:r>
      <w:proofErr w:type="spellStart"/>
      <w:r w:rsidRPr="008D0B8F">
        <w:rPr>
          <w:b/>
          <w:bCs/>
          <w:color w:val="000000"/>
          <w:sz w:val="22"/>
          <w:szCs w:val="22"/>
        </w:rPr>
        <w:t>Gedeptin</w:t>
      </w:r>
      <w:proofErr w:type="spellEnd"/>
      <w:r w:rsidRPr="008D0B8F">
        <w:rPr>
          <w:b/>
          <w:bCs/>
          <w:color w:val="000000"/>
          <w:sz w:val="22"/>
          <w:szCs w:val="22"/>
          <w:vertAlign w:val="superscript"/>
        </w:rPr>
        <w:t>®</w:t>
      </w:r>
      <w:r w:rsidRPr="008D0B8F">
        <w:rPr>
          <w:b/>
          <w:bCs/>
          <w:color w:val="000000"/>
          <w:sz w:val="22"/>
          <w:szCs w:val="22"/>
        </w:rPr>
        <w:t xml:space="preserve"> and Advancing MVA-VLP-MUC1 to IND-readiness</w:t>
      </w:r>
    </w:p>
    <w:p w14:paraId="7F43A0E4" w14:textId="77777777" w:rsidR="008D0B8F" w:rsidRPr="008D0B8F" w:rsidRDefault="008D0B8F" w:rsidP="008D0B8F">
      <w:pPr>
        <w:jc w:val="both"/>
        <w:rPr>
          <w:color w:val="000000"/>
          <w:sz w:val="22"/>
          <w:szCs w:val="22"/>
        </w:rPr>
      </w:pPr>
    </w:p>
    <w:p w14:paraId="6080446F" w14:textId="77777777" w:rsidR="008D0B8F" w:rsidRPr="008D0B8F" w:rsidRDefault="008D0B8F" w:rsidP="008D0B8F">
      <w:pPr>
        <w:jc w:val="both"/>
        <w:rPr>
          <w:color w:val="000000"/>
          <w:sz w:val="22"/>
          <w:szCs w:val="22"/>
        </w:rPr>
      </w:pPr>
      <w:r w:rsidRPr="008D0B8F">
        <w:rPr>
          <w:color w:val="000000"/>
          <w:sz w:val="22"/>
          <w:szCs w:val="22"/>
        </w:rPr>
        <w:t xml:space="preserve">Our exclusive license of </w:t>
      </w:r>
      <w:proofErr w:type="spellStart"/>
      <w:r w:rsidRPr="008D0B8F">
        <w:rPr>
          <w:b/>
          <w:bCs/>
          <w:color w:val="000000"/>
          <w:sz w:val="22"/>
          <w:szCs w:val="22"/>
        </w:rPr>
        <w:t>Gedeptin</w:t>
      </w:r>
      <w:proofErr w:type="spellEnd"/>
      <w:r w:rsidRPr="008D0B8F">
        <w:rPr>
          <w:b/>
          <w:bCs/>
          <w:color w:val="000000"/>
          <w:sz w:val="22"/>
          <w:szCs w:val="22"/>
          <w:vertAlign w:val="superscript"/>
        </w:rPr>
        <w:t>®</w:t>
      </w:r>
      <w:r w:rsidRPr="008D0B8F">
        <w:rPr>
          <w:color w:val="000000"/>
          <w:sz w:val="22"/>
          <w:szCs w:val="22"/>
        </w:rPr>
        <w:t xml:space="preserve"> provides a Phase 2 stage therapy for advanced head and neck cancers. The U.S. Food and Drug Administration (FDA) granted orphan drug status to </w:t>
      </w:r>
      <w:proofErr w:type="spellStart"/>
      <w:r w:rsidRPr="008D0B8F">
        <w:rPr>
          <w:color w:val="000000"/>
          <w:sz w:val="22"/>
          <w:szCs w:val="22"/>
        </w:rPr>
        <w:t>Gedeptin</w:t>
      </w:r>
      <w:proofErr w:type="spellEnd"/>
      <w:r w:rsidRPr="008D0B8F">
        <w:rPr>
          <w:color w:val="000000"/>
          <w:sz w:val="22"/>
          <w:szCs w:val="22"/>
          <w:vertAlign w:val="superscript"/>
        </w:rPr>
        <w:t>®</w:t>
      </w:r>
      <w:r w:rsidRPr="008D0B8F">
        <w:rPr>
          <w:color w:val="000000"/>
          <w:sz w:val="22"/>
          <w:szCs w:val="22"/>
        </w:rPr>
        <w:t xml:space="preserve"> and we are currently expanding the number of trial sites </w:t>
      </w:r>
      <w:proofErr w:type="gramStart"/>
      <w:r w:rsidRPr="008D0B8F">
        <w:rPr>
          <w:color w:val="000000"/>
          <w:sz w:val="22"/>
          <w:szCs w:val="22"/>
        </w:rPr>
        <w:t>in order to</w:t>
      </w:r>
      <w:proofErr w:type="gramEnd"/>
      <w:r w:rsidRPr="008D0B8F">
        <w:rPr>
          <w:color w:val="000000"/>
          <w:sz w:val="22"/>
          <w:szCs w:val="22"/>
        </w:rPr>
        <w:t xml:space="preserve"> accelerate patient enrollment and validate the product for regulatory filing.  </w:t>
      </w:r>
    </w:p>
    <w:p w14:paraId="33CE4F09" w14:textId="77777777" w:rsidR="008D0B8F" w:rsidRPr="008D0B8F" w:rsidRDefault="008D0B8F" w:rsidP="008D0B8F">
      <w:pPr>
        <w:jc w:val="both"/>
        <w:rPr>
          <w:color w:val="000000"/>
          <w:sz w:val="22"/>
          <w:szCs w:val="22"/>
        </w:rPr>
      </w:pPr>
    </w:p>
    <w:p w14:paraId="0CBAD7A7" w14:textId="77777777" w:rsidR="008D0B8F" w:rsidRPr="008D0B8F" w:rsidRDefault="008D0B8F" w:rsidP="008D0B8F">
      <w:pPr>
        <w:jc w:val="both"/>
        <w:rPr>
          <w:color w:val="000000"/>
          <w:sz w:val="22"/>
          <w:szCs w:val="22"/>
        </w:rPr>
      </w:pPr>
      <w:r w:rsidRPr="008D0B8F">
        <w:rPr>
          <w:color w:val="000000"/>
          <w:sz w:val="22"/>
          <w:szCs w:val="22"/>
        </w:rPr>
        <w:t xml:space="preserve">We will also evaluate additional opportunities to expand the use of </w:t>
      </w:r>
      <w:proofErr w:type="spellStart"/>
      <w:r w:rsidRPr="008D0B8F">
        <w:rPr>
          <w:color w:val="000000"/>
          <w:sz w:val="22"/>
          <w:szCs w:val="22"/>
        </w:rPr>
        <w:t>Gedeptin</w:t>
      </w:r>
      <w:proofErr w:type="spellEnd"/>
      <w:r w:rsidRPr="008D0B8F">
        <w:rPr>
          <w:color w:val="000000"/>
          <w:sz w:val="22"/>
          <w:szCs w:val="22"/>
        </w:rPr>
        <w:t xml:space="preserve"> in conjunction with other cancer therapies, such as Immune Checkpoint Inhibitors (ICIs).</w:t>
      </w:r>
    </w:p>
    <w:p w14:paraId="76EFCACD" w14:textId="77777777" w:rsidR="008D0B8F" w:rsidRPr="008D0B8F" w:rsidRDefault="008D0B8F" w:rsidP="008D0B8F">
      <w:pPr>
        <w:jc w:val="both"/>
        <w:rPr>
          <w:color w:val="000000"/>
          <w:sz w:val="22"/>
          <w:szCs w:val="22"/>
        </w:rPr>
      </w:pPr>
    </w:p>
    <w:p w14:paraId="68440FF5" w14:textId="77777777" w:rsidR="008D0B8F" w:rsidRPr="008D0B8F" w:rsidRDefault="008D0B8F" w:rsidP="008D0B8F">
      <w:pPr>
        <w:jc w:val="both"/>
        <w:rPr>
          <w:color w:val="000000"/>
          <w:sz w:val="22"/>
          <w:szCs w:val="22"/>
        </w:rPr>
      </w:pPr>
      <w:r w:rsidRPr="008D0B8F">
        <w:rPr>
          <w:color w:val="000000"/>
          <w:sz w:val="22"/>
          <w:szCs w:val="22"/>
        </w:rPr>
        <w:t xml:space="preserve">Separately, our </w:t>
      </w:r>
      <w:r w:rsidRPr="008D0B8F">
        <w:rPr>
          <w:b/>
          <w:bCs/>
          <w:color w:val="000000"/>
          <w:sz w:val="22"/>
          <w:szCs w:val="22"/>
        </w:rPr>
        <w:t>MVA-VLP-MUC1</w:t>
      </w:r>
      <w:r w:rsidRPr="008D0B8F">
        <w:rPr>
          <w:color w:val="000000"/>
          <w:sz w:val="22"/>
          <w:szCs w:val="22"/>
        </w:rPr>
        <w:t xml:space="preserve"> immunotherapy is advancing towards IND-filing through critical animal efficacy testing models. The focus is on combining our vaccine and ICIs with the goal of enhancing the therapeutic performance and utility of ICI therapy.  During the fourth quarter, we received a Notice of Allowance regarding our cancer (MUC1) vaccine patent, documenting the novelty of our vaccine approach.</w:t>
      </w:r>
    </w:p>
    <w:p w14:paraId="16252304" w14:textId="77777777" w:rsidR="008D0B8F" w:rsidRPr="008D0B8F" w:rsidRDefault="008D0B8F" w:rsidP="008D0B8F">
      <w:pPr>
        <w:jc w:val="both"/>
        <w:rPr>
          <w:color w:val="000000"/>
          <w:sz w:val="22"/>
          <w:szCs w:val="22"/>
        </w:rPr>
      </w:pPr>
    </w:p>
    <w:p w14:paraId="29BD1158" w14:textId="77777777" w:rsidR="008D0B8F" w:rsidRPr="008D0B8F" w:rsidRDefault="008D0B8F" w:rsidP="008D0B8F">
      <w:pPr>
        <w:rPr>
          <w:b/>
          <w:bCs/>
          <w:color w:val="000000"/>
          <w:sz w:val="22"/>
          <w:szCs w:val="22"/>
          <w:u w:val="single"/>
        </w:rPr>
      </w:pPr>
      <w:r w:rsidRPr="008D0B8F">
        <w:rPr>
          <w:b/>
          <w:bCs/>
          <w:color w:val="000000"/>
          <w:sz w:val="22"/>
          <w:szCs w:val="22"/>
          <w:u w:val="single"/>
        </w:rPr>
        <w:t>Goal Achievement #3</w:t>
      </w:r>
    </w:p>
    <w:p w14:paraId="554F1BFC" w14:textId="77777777" w:rsidR="008D0B8F" w:rsidRPr="008D0B8F" w:rsidRDefault="008D0B8F" w:rsidP="008D0B8F">
      <w:pPr>
        <w:jc w:val="center"/>
        <w:rPr>
          <w:b/>
          <w:bCs/>
          <w:color w:val="000000"/>
          <w:sz w:val="22"/>
          <w:szCs w:val="22"/>
          <w:u w:val="single"/>
        </w:rPr>
      </w:pPr>
    </w:p>
    <w:p w14:paraId="56F1632B" w14:textId="77777777" w:rsidR="008D0B8F" w:rsidRPr="008D0B8F" w:rsidRDefault="008D0B8F" w:rsidP="008D0B8F">
      <w:pPr>
        <w:rPr>
          <w:color w:val="000000"/>
          <w:sz w:val="22"/>
          <w:szCs w:val="22"/>
        </w:rPr>
      </w:pPr>
      <w:r w:rsidRPr="008D0B8F">
        <w:rPr>
          <w:b/>
          <w:bCs/>
          <w:color w:val="000000"/>
          <w:sz w:val="22"/>
          <w:szCs w:val="22"/>
        </w:rPr>
        <w:t>Hemorrhagic Fever Virus Vaccines: Ebola, Marburg, Lassa &amp; Sudan Advancing with NIH &amp; DoD Support</w:t>
      </w:r>
    </w:p>
    <w:p w14:paraId="0576538C" w14:textId="77777777" w:rsidR="008D0B8F" w:rsidRPr="008D0B8F" w:rsidRDefault="008D0B8F" w:rsidP="008D0B8F">
      <w:pPr>
        <w:rPr>
          <w:color w:val="000000"/>
          <w:sz w:val="22"/>
          <w:szCs w:val="22"/>
        </w:rPr>
      </w:pPr>
    </w:p>
    <w:p w14:paraId="276FDD0E" w14:textId="77777777" w:rsidR="008D0B8F" w:rsidRPr="008D0B8F" w:rsidRDefault="008D0B8F" w:rsidP="008D0B8F">
      <w:pPr>
        <w:jc w:val="both"/>
        <w:rPr>
          <w:color w:val="000000"/>
          <w:sz w:val="22"/>
          <w:szCs w:val="22"/>
        </w:rPr>
      </w:pPr>
      <w:r w:rsidRPr="008D0B8F">
        <w:rPr>
          <w:color w:val="000000"/>
          <w:sz w:val="22"/>
          <w:szCs w:val="22"/>
        </w:rPr>
        <w:t xml:space="preserve">Thanks to the continued support of NIH Preclinical Services and the DoD, our hemorrhagic fever virus vaccines continue to demonstrate promising immune responses and efficacy measures in animal testing.  </w:t>
      </w:r>
    </w:p>
    <w:p w14:paraId="09802899" w14:textId="77777777" w:rsidR="008D0B8F" w:rsidRPr="008D0B8F" w:rsidRDefault="008D0B8F" w:rsidP="008D0B8F">
      <w:pPr>
        <w:jc w:val="both"/>
        <w:rPr>
          <w:color w:val="000000"/>
          <w:sz w:val="22"/>
          <w:szCs w:val="22"/>
        </w:rPr>
      </w:pPr>
    </w:p>
    <w:p w14:paraId="14A22623" w14:textId="77777777" w:rsidR="008D0B8F" w:rsidRPr="008D0B8F" w:rsidRDefault="008D0B8F" w:rsidP="008D0B8F">
      <w:pPr>
        <w:jc w:val="both"/>
        <w:rPr>
          <w:color w:val="000000"/>
          <w:sz w:val="22"/>
          <w:szCs w:val="22"/>
        </w:rPr>
      </w:pPr>
      <w:r w:rsidRPr="008D0B8F">
        <w:rPr>
          <w:color w:val="000000"/>
          <w:sz w:val="22"/>
          <w:szCs w:val="22"/>
        </w:rPr>
        <w:t>To date, we have demonstrated 100% protection with a single dose vaccine against Ebola in a lethal challenge non-human primate evaluation, and the data was recently presented at the 2021 World Vaccine &amp; Immunotherapy Congress.  During the fourth quarter, we received a Notice of Allowance for our Ebola vaccine patent, which represents the basis of our technology related to hemorrhagic fever virus vaccines.</w:t>
      </w:r>
    </w:p>
    <w:p w14:paraId="2B9DDB2B" w14:textId="77777777" w:rsidR="008D0B8F" w:rsidRPr="008D0B8F" w:rsidRDefault="008D0B8F" w:rsidP="008D0B8F">
      <w:pPr>
        <w:rPr>
          <w:color w:val="000000"/>
          <w:sz w:val="22"/>
          <w:szCs w:val="22"/>
        </w:rPr>
      </w:pPr>
    </w:p>
    <w:p w14:paraId="61EDBAEA" w14:textId="77777777" w:rsidR="008D0B8F" w:rsidRPr="008D0B8F" w:rsidRDefault="008D0B8F" w:rsidP="008D0B8F">
      <w:pPr>
        <w:rPr>
          <w:b/>
          <w:bCs/>
          <w:color w:val="000000"/>
          <w:sz w:val="22"/>
          <w:szCs w:val="22"/>
          <w:u w:val="single"/>
        </w:rPr>
      </w:pPr>
      <w:r w:rsidRPr="008D0B8F">
        <w:rPr>
          <w:b/>
          <w:bCs/>
          <w:color w:val="000000"/>
          <w:sz w:val="22"/>
          <w:szCs w:val="22"/>
          <w:u w:val="single"/>
        </w:rPr>
        <w:t>Goal Achievements #4 and #5</w:t>
      </w:r>
    </w:p>
    <w:p w14:paraId="782888FB" w14:textId="77777777" w:rsidR="008D0B8F" w:rsidRPr="008D0B8F" w:rsidRDefault="008D0B8F" w:rsidP="008D0B8F">
      <w:pPr>
        <w:rPr>
          <w:b/>
          <w:bCs/>
          <w:color w:val="000000"/>
          <w:sz w:val="22"/>
          <w:szCs w:val="22"/>
          <w:u w:val="single"/>
        </w:rPr>
      </w:pPr>
    </w:p>
    <w:p w14:paraId="461C0D8E" w14:textId="77777777" w:rsidR="008D0B8F" w:rsidRPr="008D0B8F" w:rsidRDefault="008D0B8F" w:rsidP="008D0B8F">
      <w:pPr>
        <w:rPr>
          <w:b/>
          <w:bCs/>
          <w:color w:val="000000"/>
          <w:sz w:val="22"/>
          <w:szCs w:val="22"/>
        </w:rPr>
      </w:pPr>
      <w:r w:rsidRPr="008D0B8F">
        <w:rPr>
          <w:b/>
          <w:bCs/>
          <w:color w:val="000000"/>
          <w:sz w:val="22"/>
          <w:szCs w:val="22"/>
        </w:rPr>
        <w:t>Strong Balance Sheet – Enabling Transformative Business Developments into Phase 2 Status and Operational Strengthening</w:t>
      </w:r>
    </w:p>
    <w:p w14:paraId="3D40CA8A" w14:textId="77777777" w:rsidR="008D0B8F" w:rsidRPr="008D0B8F" w:rsidRDefault="008D0B8F" w:rsidP="008D0B8F">
      <w:pPr>
        <w:rPr>
          <w:color w:val="000000"/>
          <w:sz w:val="22"/>
          <w:szCs w:val="22"/>
        </w:rPr>
      </w:pPr>
    </w:p>
    <w:p w14:paraId="79A6F4AF" w14:textId="77777777" w:rsidR="008D0B8F" w:rsidRPr="008D0B8F" w:rsidRDefault="008D0B8F" w:rsidP="008D0B8F">
      <w:pPr>
        <w:rPr>
          <w:color w:val="000000"/>
          <w:sz w:val="22"/>
          <w:szCs w:val="22"/>
        </w:rPr>
      </w:pPr>
    </w:p>
    <w:p w14:paraId="1505D4A3" w14:textId="77777777" w:rsidR="008D0B8F" w:rsidRPr="008D0B8F" w:rsidRDefault="008D0B8F" w:rsidP="008D0B8F">
      <w:pPr>
        <w:jc w:val="both"/>
        <w:rPr>
          <w:color w:val="000000"/>
          <w:sz w:val="22"/>
          <w:szCs w:val="22"/>
        </w:rPr>
      </w:pPr>
      <w:r w:rsidRPr="008D0B8F">
        <w:rPr>
          <w:color w:val="000000"/>
          <w:sz w:val="22"/>
          <w:szCs w:val="22"/>
        </w:rPr>
        <w:t xml:space="preserve">We began 2021 with a clean balance sheet, having successfully listed on the Nasdaq market, and in early 2021, we further strengthened our balance sheet.  As a result, we have added strength and depth in various operational areas that are critical for us to successfully proceed through clinical development and potentially into regulatory registration and/or business partnering/collaborations. During 2021, we also successfully completed transformative exclusive license agreements relating to </w:t>
      </w:r>
      <w:proofErr w:type="spellStart"/>
      <w:r w:rsidRPr="008D0B8F">
        <w:rPr>
          <w:color w:val="000000"/>
          <w:sz w:val="22"/>
          <w:szCs w:val="22"/>
        </w:rPr>
        <w:t>Gedeptin</w:t>
      </w:r>
      <w:proofErr w:type="spellEnd"/>
      <w:r w:rsidRPr="008D0B8F">
        <w:rPr>
          <w:color w:val="000000"/>
          <w:sz w:val="22"/>
          <w:szCs w:val="22"/>
          <w:vertAlign w:val="superscript"/>
        </w:rPr>
        <w:t>®</w:t>
      </w:r>
      <w:r w:rsidRPr="008D0B8F">
        <w:rPr>
          <w:color w:val="000000"/>
          <w:sz w:val="22"/>
          <w:szCs w:val="22"/>
        </w:rPr>
        <w:t xml:space="preserve"> and GEO-CM04S1 while also advancing our internal priority development programs.</w:t>
      </w:r>
    </w:p>
    <w:p w14:paraId="1BBB3CD2" w14:textId="77777777" w:rsidR="008D0B8F" w:rsidRPr="008D0B8F" w:rsidRDefault="008D0B8F" w:rsidP="008D0B8F">
      <w:pPr>
        <w:jc w:val="both"/>
        <w:rPr>
          <w:color w:val="000000"/>
          <w:sz w:val="22"/>
          <w:szCs w:val="22"/>
        </w:rPr>
      </w:pPr>
    </w:p>
    <w:p w14:paraId="79190254" w14:textId="77777777" w:rsidR="008D0B8F" w:rsidRPr="008D0B8F" w:rsidRDefault="008D0B8F" w:rsidP="008D0B8F">
      <w:pPr>
        <w:jc w:val="both"/>
        <w:rPr>
          <w:sz w:val="22"/>
          <w:szCs w:val="22"/>
        </w:rPr>
      </w:pPr>
      <w:r w:rsidRPr="008D0B8F">
        <w:rPr>
          <w:sz w:val="22"/>
          <w:szCs w:val="22"/>
        </w:rPr>
        <w:t xml:space="preserve">As we enter 2022, our focus will be on </w:t>
      </w:r>
      <w:r w:rsidRPr="008D0B8F">
        <w:rPr>
          <w:b/>
          <w:bCs/>
          <w:sz w:val="22"/>
          <w:szCs w:val="22"/>
        </w:rPr>
        <w:t>the continuing progress</w:t>
      </w:r>
      <w:r w:rsidRPr="008D0B8F">
        <w:rPr>
          <w:sz w:val="22"/>
          <w:szCs w:val="22"/>
        </w:rPr>
        <w:t xml:space="preserve"> of our </w:t>
      </w:r>
      <w:r w:rsidRPr="008D0B8F">
        <w:rPr>
          <w:b/>
          <w:bCs/>
          <w:sz w:val="22"/>
          <w:szCs w:val="22"/>
        </w:rPr>
        <w:t>three Phase 2 clinical programs</w:t>
      </w:r>
      <w:r w:rsidRPr="008D0B8F">
        <w:rPr>
          <w:sz w:val="22"/>
          <w:szCs w:val="22"/>
        </w:rPr>
        <w:t xml:space="preserve"> and ensuring that we have appropriate internal/external resources to support both our clinical programs and our IND-enabling initiatives in support of our priority internal programs.</w:t>
      </w:r>
    </w:p>
    <w:p w14:paraId="4F7B39A4" w14:textId="77777777" w:rsidR="008D0B8F" w:rsidRPr="008D0B8F" w:rsidRDefault="008D0B8F" w:rsidP="008D0B8F">
      <w:pPr>
        <w:rPr>
          <w:sz w:val="22"/>
          <w:szCs w:val="22"/>
        </w:rPr>
      </w:pPr>
    </w:p>
    <w:p w14:paraId="455F1C6C" w14:textId="77777777" w:rsidR="008D0B8F" w:rsidRPr="008D0B8F" w:rsidRDefault="008D0B8F" w:rsidP="008D0B8F">
      <w:pPr>
        <w:rPr>
          <w:b/>
          <w:bCs/>
          <w:sz w:val="22"/>
          <w:szCs w:val="22"/>
        </w:rPr>
      </w:pPr>
      <w:r w:rsidRPr="008D0B8F">
        <w:rPr>
          <w:b/>
          <w:bCs/>
          <w:sz w:val="22"/>
          <w:szCs w:val="22"/>
        </w:rPr>
        <w:t xml:space="preserve">2022 </w:t>
      </w:r>
      <w:r w:rsidRPr="008D0B8F">
        <w:rPr>
          <w:b/>
          <w:bCs/>
          <w:caps/>
          <w:sz w:val="22"/>
          <w:szCs w:val="22"/>
        </w:rPr>
        <w:t>Goals</w:t>
      </w:r>
      <w:r w:rsidRPr="008D0B8F">
        <w:rPr>
          <w:b/>
          <w:bCs/>
          <w:sz w:val="22"/>
          <w:szCs w:val="22"/>
        </w:rPr>
        <w:t xml:space="preserve">  </w:t>
      </w:r>
    </w:p>
    <w:p w14:paraId="6CD23EE3" w14:textId="77777777" w:rsidR="008D0B8F" w:rsidRPr="008D0B8F" w:rsidRDefault="008D0B8F" w:rsidP="008D0B8F">
      <w:pPr>
        <w:jc w:val="center"/>
        <w:rPr>
          <w:b/>
          <w:bCs/>
          <w:sz w:val="22"/>
          <w:szCs w:val="22"/>
        </w:rPr>
      </w:pPr>
    </w:p>
    <w:p w14:paraId="58C37AA2" w14:textId="77777777" w:rsidR="008D0B8F" w:rsidRPr="008D0B8F" w:rsidRDefault="008D0B8F" w:rsidP="008D0B8F">
      <w:pPr>
        <w:rPr>
          <w:b/>
          <w:bCs/>
          <w:sz w:val="22"/>
          <w:szCs w:val="22"/>
          <w:u w:val="single"/>
        </w:rPr>
      </w:pPr>
      <w:r w:rsidRPr="008D0B8F">
        <w:rPr>
          <w:b/>
          <w:bCs/>
          <w:sz w:val="22"/>
          <w:szCs w:val="22"/>
          <w:u w:val="single"/>
        </w:rPr>
        <w:t>Goal #1</w:t>
      </w:r>
    </w:p>
    <w:p w14:paraId="5E446F8B" w14:textId="77777777" w:rsidR="008D0B8F" w:rsidRPr="008D0B8F" w:rsidRDefault="008D0B8F" w:rsidP="008D0B8F">
      <w:pPr>
        <w:rPr>
          <w:b/>
          <w:bCs/>
          <w:sz w:val="22"/>
          <w:szCs w:val="22"/>
        </w:rPr>
      </w:pPr>
    </w:p>
    <w:p w14:paraId="02780769" w14:textId="77777777" w:rsidR="008D0B8F" w:rsidRPr="008D0B8F" w:rsidRDefault="008D0B8F" w:rsidP="008D0B8F">
      <w:pPr>
        <w:contextualSpacing/>
        <w:rPr>
          <w:b/>
          <w:bCs/>
          <w:sz w:val="22"/>
          <w:szCs w:val="22"/>
          <w:u w:val="single"/>
        </w:rPr>
      </w:pPr>
      <w:r w:rsidRPr="008D0B8F">
        <w:rPr>
          <w:b/>
          <w:bCs/>
          <w:sz w:val="22"/>
          <w:szCs w:val="22"/>
          <w:u w:val="single"/>
        </w:rPr>
        <w:t xml:space="preserve">Covid-19/SARS-CoV-2 </w:t>
      </w:r>
    </w:p>
    <w:p w14:paraId="51C0E770" w14:textId="77777777" w:rsidR="008D0B8F" w:rsidRPr="008D0B8F" w:rsidRDefault="008D0B8F" w:rsidP="008D0B8F">
      <w:pPr>
        <w:numPr>
          <w:ilvl w:val="1"/>
          <w:numId w:val="4"/>
        </w:numPr>
        <w:ind w:left="720"/>
        <w:contextualSpacing/>
        <w:jc w:val="both"/>
        <w:rPr>
          <w:b/>
          <w:bCs/>
          <w:sz w:val="22"/>
          <w:szCs w:val="22"/>
        </w:rPr>
      </w:pPr>
      <w:r w:rsidRPr="008D0B8F">
        <w:rPr>
          <w:sz w:val="22"/>
          <w:szCs w:val="22"/>
        </w:rPr>
        <w:t xml:space="preserve">Accelerate the two Phase 2 clinical trials to support the development of </w:t>
      </w:r>
      <w:r w:rsidRPr="008D0B8F">
        <w:rPr>
          <w:b/>
          <w:bCs/>
          <w:sz w:val="22"/>
          <w:szCs w:val="22"/>
        </w:rPr>
        <w:t>GEO-CM04S1</w:t>
      </w:r>
    </w:p>
    <w:p w14:paraId="707B988A" w14:textId="77777777" w:rsidR="008D0B8F" w:rsidRPr="008D0B8F" w:rsidRDefault="008D0B8F" w:rsidP="008D0B8F">
      <w:pPr>
        <w:numPr>
          <w:ilvl w:val="2"/>
          <w:numId w:val="4"/>
        </w:numPr>
        <w:ind w:left="1080"/>
        <w:contextualSpacing/>
        <w:jc w:val="both"/>
        <w:rPr>
          <w:b/>
          <w:bCs/>
          <w:sz w:val="22"/>
          <w:szCs w:val="22"/>
        </w:rPr>
      </w:pPr>
      <w:r w:rsidRPr="008D0B8F">
        <w:rPr>
          <w:b/>
          <w:bCs/>
          <w:sz w:val="22"/>
          <w:szCs w:val="22"/>
        </w:rPr>
        <w:t>Immunocompromised patients</w:t>
      </w:r>
      <w:r w:rsidRPr="008D0B8F">
        <w:rPr>
          <w:sz w:val="22"/>
          <w:szCs w:val="22"/>
        </w:rPr>
        <w:t xml:space="preserve"> – direct comparison against the Pfizer/BioNTech mRNA vaccine </w:t>
      </w:r>
    </w:p>
    <w:p w14:paraId="5097E9B5" w14:textId="77777777" w:rsidR="008D0B8F" w:rsidRPr="008D0B8F" w:rsidRDefault="008D0B8F" w:rsidP="008D0B8F">
      <w:pPr>
        <w:numPr>
          <w:ilvl w:val="2"/>
          <w:numId w:val="4"/>
        </w:numPr>
        <w:ind w:left="1080"/>
        <w:contextualSpacing/>
        <w:jc w:val="both"/>
        <w:rPr>
          <w:b/>
          <w:bCs/>
          <w:sz w:val="22"/>
          <w:szCs w:val="22"/>
        </w:rPr>
      </w:pPr>
      <w:r w:rsidRPr="008D0B8F">
        <w:rPr>
          <w:b/>
          <w:bCs/>
          <w:sz w:val="22"/>
          <w:szCs w:val="22"/>
        </w:rPr>
        <w:t>Booster</w:t>
      </w:r>
      <w:r w:rsidRPr="008D0B8F">
        <w:rPr>
          <w:sz w:val="22"/>
          <w:szCs w:val="22"/>
        </w:rPr>
        <w:t xml:space="preserve"> among healthy individuals who previously received the two-shot regimen of an mRNA vaccine</w:t>
      </w:r>
    </w:p>
    <w:p w14:paraId="6EED9D18" w14:textId="77777777" w:rsidR="008D0B8F" w:rsidRPr="008D0B8F" w:rsidRDefault="008D0B8F" w:rsidP="008D0B8F">
      <w:pPr>
        <w:numPr>
          <w:ilvl w:val="1"/>
          <w:numId w:val="4"/>
        </w:numPr>
        <w:ind w:left="720"/>
        <w:contextualSpacing/>
        <w:jc w:val="both"/>
        <w:rPr>
          <w:b/>
          <w:bCs/>
          <w:sz w:val="22"/>
          <w:szCs w:val="22"/>
        </w:rPr>
      </w:pPr>
      <w:r w:rsidRPr="008D0B8F">
        <w:rPr>
          <w:sz w:val="22"/>
          <w:szCs w:val="22"/>
        </w:rPr>
        <w:t>Advance GEO-CM02, our potential single dose, universal coronavirus vaccine through IND-enabling activities</w:t>
      </w:r>
    </w:p>
    <w:p w14:paraId="2CB0817B" w14:textId="77777777" w:rsidR="008D0B8F" w:rsidRPr="008D0B8F" w:rsidRDefault="008D0B8F" w:rsidP="008D0B8F">
      <w:pPr>
        <w:numPr>
          <w:ilvl w:val="1"/>
          <w:numId w:val="4"/>
        </w:numPr>
        <w:ind w:left="720"/>
        <w:contextualSpacing/>
        <w:jc w:val="both"/>
        <w:rPr>
          <w:b/>
          <w:bCs/>
          <w:sz w:val="22"/>
          <w:szCs w:val="22"/>
        </w:rPr>
      </w:pPr>
      <w:r w:rsidRPr="008D0B8F">
        <w:rPr>
          <w:i/>
          <w:iCs/>
          <w:sz w:val="22"/>
          <w:szCs w:val="22"/>
        </w:rPr>
        <w:t>While our priority will be on accelerating our GEO-CM04S1 clinical program, we remain encouraged regarding the potential of GEO-CM02. Our developments are well aligned with organizations such as NIH and the Coalition for Epidemic Preparedness Innovations (CEPI), which have established priority goals in supporting the development of universal coronavirus vaccines. We anticipate providing updates as results become available. We also recognize potential opportunities exist for collaborations as well as out-licensing of our programs, especially those advancing through clinical trials, which we will evaluate and consider.</w:t>
      </w:r>
    </w:p>
    <w:p w14:paraId="0A64048F" w14:textId="77777777" w:rsidR="008D0B8F" w:rsidRPr="008D0B8F" w:rsidRDefault="008D0B8F" w:rsidP="008D0B8F">
      <w:pPr>
        <w:rPr>
          <w:b/>
          <w:bCs/>
          <w:sz w:val="22"/>
          <w:szCs w:val="22"/>
          <w:u w:val="single"/>
        </w:rPr>
      </w:pPr>
    </w:p>
    <w:p w14:paraId="3A0F9041" w14:textId="77777777" w:rsidR="008D0B8F" w:rsidRPr="008D0B8F" w:rsidRDefault="008D0B8F" w:rsidP="008D0B8F">
      <w:pPr>
        <w:rPr>
          <w:b/>
          <w:bCs/>
          <w:sz w:val="22"/>
          <w:szCs w:val="22"/>
          <w:u w:val="single"/>
        </w:rPr>
      </w:pPr>
      <w:r w:rsidRPr="008D0B8F">
        <w:rPr>
          <w:b/>
          <w:bCs/>
          <w:sz w:val="22"/>
          <w:szCs w:val="22"/>
          <w:u w:val="single"/>
        </w:rPr>
        <w:t>Goal #2</w:t>
      </w:r>
    </w:p>
    <w:p w14:paraId="021DF132" w14:textId="77777777" w:rsidR="008D0B8F" w:rsidRPr="008D0B8F" w:rsidRDefault="008D0B8F" w:rsidP="008D0B8F">
      <w:pPr>
        <w:rPr>
          <w:b/>
          <w:bCs/>
          <w:sz w:val="22"/>
          <w:szCs w:val="22"/>
          <w:u w:val="single"/>
        </w:rPr>
      </w:pPr>
    </w:p>
    <w:p w14:paraId="51BACE00" w14:textId="77777777" w:rsidR="008D0B8F" w:rsidRPr="008D0B8F" w:rsidRDefault="008D0B8F" w:rsidP="008D0B8F">
      <w:pPr>
        <w:contextualSpacing/>
        <w:rPr>
          <w:b/>
          <w:bCs/>
          <w:sz w:val="22"/>
          <w:szCs w:val="22"/>
          <w:u w:val="single"/>
        </w:rPr>
      </w:pPr>
      <w:r w:rsidRPr="008D0B8F">
        <w:rPr>
          <w:b/>
          <w:bCs/>
          <w:sz w:val="22"/>
          <w:szCs w:val="22"/>
          <w:u w:val="single"/>
        </w:rPr>
        <w:t>Immuno-oncology</w:t>
      </w:r>
    </w:p>
    <w:p w14:paraId="067DB0BF" w14:textId="77777777" w:rsidR="008D0B8F" w:rsidRPr="008D0B8F" w:rsidRDefault="008D0B8F" w:rsidP="008D0B8F">
      <w:pPr>
        <w:numPr>
          <w:ilvl w:val="1"/>
          <w:numId w:val="4"/>
        </w:numPr>
        <w:ind w:left="720"/>
        <w:contextualSpacing/>
        <w:jc w:val="both"/>
        <w:rPr>
          <w:b/>
          <w:bCs/>
          <w:sz w:val="22"/>
          <w:szCs w:val="22"/>
        </w:rPr>
      </w:pPr>
      <w:r w:rsidRPr="008D0B8F">
        <w:rPr>
          <w:sz w:val="22"/>
          <w:szCs w:val="22"/>
        </w:rPr>
        <w:t xml:space="preserve">Accelerate the expansion and enrollment of the </w:t>
      </w:r>
      <w:proofErr w:type="spellStart"/>
      <w:r w:rsidRPr="008D0B8F">
        <w:rPr>
          <w:b/>
          <w:bCs/>
          <w:sz w:val="22"/>
          <w:szCs w:val="22"/>
        </w:rPr>
        <w:t>Gedeptin</w:t>
      </w:r>
      <w:proofErr w:type="spellEnd"/>
      <w:r w:rsidRPr="008D0B8F">
        <w:rPr>
          <w:b/>
          <w:bCs/>
          <w:sz w:val="22"/>
          <w:szCs w:val="22"/>
          <w:vertAlign w:val="superscript"/>
        </w:rPr>
        <w:t>®</w:t>
      </w:r>
      <w:r w:rsidRPr="008D0B8F">
        <w:rPr>
          <w:sz w:val="22"/>
          <w:szCs w:val="22"/>
        </w:rPr>
        <w:t xml:space="preserve"> clinical program within advanced Head &amp; Neck cancers</w:t>
      </w:r>
    </w:p>
    <w:p w14:paraId="1EF2323B" w14:textId="77777777" w:rsidR="008D0B8F" w:rsidRPr="008D0B8F" w:rsidRDefault="008D0B8F" w:rsidP="008D0B8F">
      <w:pPr>
        <w:numPr>
          <w:ilvl w:val="1"/>
          <w:numId w:val="4"/>
        </w:numPr>
        <w:ind w:left="720"/>
        <w:contextualSpacing/>
        <w:jc w:val="both"/>
        <w:rPr>
          <w:b/>
          <w:bCs/>
          <w:sz w:val="22"/>
          <w:szCs w:val="22"/>
        </w:rPr>
      </w:pPr>
      <w:r w:rsidRPr="008D0B8F">
        <w:rPr>
          <w:sz w:val="22"/>
          <w:szCs w:val="22"/>
        </w:rPr>
        <w:t xml:space="preserve">Advance </w:t>
      </w:r>
      <w:r w:rsidRPr="008D0B8F">
        <w:rPr>
          <w:b/>
          <w:bCs/>
          <w:sz w:val="22"/>
          <w:szCs w:val="22"/>
        </w:rPr>
        <w:t>MVA-VLP-MUC1</w:t>
      </w:r>
      <w:r w:rsidRPr="008D0B8F">
        <w:rPr>
          <w:sz w:val="22"/>
          <w:szCs w:val="22"/>
        </w:rPr>
        <w:t xml:space="preserve"> to through critical animal efficacy models to support IND-readiness</w:t>
      </w:r>
    </w:p>
    <w:p w14:paraId="4C7DC6AB" w14:textId="77777777" w:rsidR="008D0B8F" w:rsidRPr="008D0B8F" w:rsidRDefault="008D0B8F" w:rsidP="008D0B8F">
      <w:pPr>
        <w:numPr>
          <w:ilvl w:val="1"/>
          <w:numId w:val="4"/>
        </w:numPr>
        <w:ind w:left="720"/>
        <w:contextualSpacing/>
        <w:jc w:val="both"/>
        <w:rPr>
          <w:b/>
          <w:bCs/>
          <w:i/>
          <w:iCs/>
          <w:sz w:val="22"/>
          <w:szCs w:val="22"/>
        </w:rPr>
      </w:pPr>
      <w:r w:rsidRPr="008D0B8F">
        <w:rPr>
          <w:i/>
          <w:iCs/>
          <w:sz w:val="22"/>
          <w:szCs w:val="22"/>
        </w:rPr>
        <w:t xml:space="preserve">Our priority is to expand and accelerate the </w:t>
      </w:r>
      <w:proofErr w:type="spellStart"/>
      <w:r w:rsidRPr="008D0B8F">
        <w:rPr>
          <w:i/>
          <w:iCs/>
          <w:sz w:val="22"/>
          <w:szCs w:val="22"/>
        </w:rPr>
        <w:t>Gedeptin</w:t>
      </w:r>
      <w:proofErr w:type="spellEnd"/>
      <w:r w:rsidRPr="008D0B8F">
        <w:rPr>
          <w:i/>
          <w:iCs/>
          <w:sz w:val="22"/>
          <w:szCs w:val="22"/>
          <w:vertAlign w:val="superscript"/>
        </w:rPr>
        <w:t>®</w:t>
      </w:r>
      <w:r w:rsidRPr="008D0B8F">
        <w:rPr>
          <w:i/>
          <w:iCs/>
          <w:sz w:val="22"/>
          <w:szCs w:val="22"/>
        </w:rPr>
        <w:t xml:space="preserve"> clinical program. We anticipate providing updates throughout 2022 regarding the expansion and acceleration of the </w:t>
      </w:r>
      <w:proofErr w:type="spellStart"/>
      <w:r w:rsidRPr="008D0B8F">
        <w:rPr>
          <w:i/>
          <w:iCs/>
          <w:sz w:val="22"/>
          <w:szCs w:val="22"/>
        </w:rPr>
        <w:t>Gedeptin</w:t>
      </w:r>
      <w:proofErr w:type="spellEnd"/>
      <w:r w:rsidRPr="008D0B8F">
        <w:rPr>
          <w:i/>
          <w:iCs/>
          <w:sz w:val="22"/>
          <w:szCs w:val="22"/>
          <w:vertAlign w:val="superscript"/>
        </w:rPr>
        <w:t>®</w:t>
      </w:r>
      <w:r w:rsidRPr="008D0B8F">
        <w:rPr>
          <w:i/>
          <w:iCs/>
          <w:sz w:val="22"/>
          <w:szCs w:val="22"/>
        </w:rPr>
        <w:t xml:space="preserve"> program, as well as updates regarding the progress of MVA-VLP-MUC1. We also recognize potential opportunities exist for collaborations and out-licensing of these programs which we will evaluate and consider.</w:t>
      </w:r>
    </w:p>
    <w:p w14:paraId="103B61AB" w14:textId="77777777" w:rsidR="008D0B8F" w:rsidRPr="008D0B8F" w:rsidRDefault="008D0B8F" w:rsidP="008D0B8F">
      <w:pPr>
        <w:rPr>
          <w:b/>
          <w:bCs/>
          <w:sz w:val="22"/>
          <w:szCs w:val="22"/>
        </w:rPr>
      </w:pPr>
    </w:p>
    <w:p w14:paraId="511EA4E7" w14:textId="77777777" w:rsidR="008D0B8F" w:rsidRPr="008D0B8F" w:rsidRDefault="008D0B8F" w:rsidP="008D0B8F">
      <w:pPr>
        <w:rPr>
          <w:b/>
          <w:bCs/>
          <w:sz w:val="22"/>
          <w:szCs w:val="22"/>
          <w:u w:val="single"/>
        </w:rPr>
      </w:pPr>
      <w:r w:rsidRPr="008D0B8F">
        <w:rPr>
          <w:b/>
          <w:bCs/>
          <w:sz w:val="22"/>
          <w:szCs w:val="22"/>
          <w:u w:val="single"/>
        </w:rPr>
        <w:t>Goal #3</w:t>
      </w:r>
    </w:p>
    <w:p w14:paraId="1FA90C35" w14:textId="77777777" w:rsidR="008D0B8F" w:rsidRPr="008D0B8F" w:rsidRDefault="008D0B8F" w:rsidP="008D0B8F">
      <w:pPr>
        <w:rPr>
          <w:b/>
          <w:bCs/>
          <w:sz w:val="22"/>
          <w:szCs w:val="22"/>
        </w:rPr>
      </w:pPr>
    </w:p>
    <w:p w14:paraId="33462260" w14:textId="77777777" w:rsidR="008D0B8F" w:rsidRPr="008D0B8F" w:rsidRDefault="008D0B8F" w:rsidP="008D0B8F">
      <w:pPr>
        <w:contextualSpacing/>
        <w:rPr>
          <w:b/>
          <w:bCs/>
          <w:sz w:val="22"/>
          <w:szCs w:val="22"/>
          <w:u w:val="single"/>
          <w:lang w:val="es-ES"/>
        </w:rPr>
      </w:pPr>
      <w:proofErr w:type="spellStart"/>
      <w:r w:rsidRPr="008D0B8F">
        <w:rPr>
          <w:b/>
          <w:bCs/>
          <w:sz w:val="22"/>
          <w:szCs w:val="22"/>
          <w:u w:val="single"/>
          <w:lang w:val="es-ES"/>
        </w:rPr>
        <w:t>Hemorrhagic</w:t>
      </w:r>
      <w:proofErr w:type="spellEnd"/>
      <w:r w:rsidRPr="008D0B8F">
        <w:rPr>
          <w:b/>
          <w:bCs/>
          <w:sz w:val="22"/>
          <w:szCs w:val="22"/>
          <w:u w:val="single"/>
          <w:lang w:val="es-ES"/>
        </w:rPr>
        <w:t xml:space="preserve"> </w:t>
      </w:r>
      <w:proofErr w:type="spellStart"/>
      <w:r w:rsidRPr="008D0B8F">
        <w:rPr>
          <w:b/>
          <w:bCs/>
          <w:sz w:val="22"/>
          <w:szCs w:val="22"/>
          <w:u w:val="single"/>
          <w:lang w:val="es-ES"/>
        </w:rPr>
        <w:t>Fever</w:t>
      </w:r>
      <w:proofErr w:type="spellEnd"/>
      <w:r w:rsidRPr="008D0B8F">
        <w:rPr>
          <w:b/>
          <w:bCs/>
          <w:sz w:val="22"/>
          <w:szCs w:val="22"/>
          <w:u w:val="single"/>
          <w:lang w:val="es-ES"/>
        </w:rPr>
        <w:t xml:space="preserve"> Virus Vaccines (</w:t>
      </w:r>
      <w:proofErr w:type="spellStart"/>
      <w:r w:rsidRPr="008D0B8F">
        <w:rPr>
          <w:b/>
          <w:bCs/>
          <w:sz w:val="22"/>
          <w:szCs w:val="22"/>
          <w:u w:val="single"/>
          <w:lang w:val="es-ES"/>
        </w:rPr>
        <w:t>Ebola</w:t>
      </w:r>
      <w:proofErr w:type="spellEnd"/>
      <w:r w:rsidRPr="008D0B8F">
        <w:rPr>
          <w:b/>
          <w:bCs/>
          <w:sz w:val="22"/>
          <w:szCs w:val="22"/>
          <w:u w:val="single"/>
          <w:lang w:val="es-ES"/>
        </w:rPr>
        <w:t>, Lassa, Marburg, Sudan)</w:t>
      </w:r>
    </w:p>
    <w:p w14:paraId="24A17D8A" w14:textId="77777777" w:rsidR="008D0B8F" w:rsidRPr="008D0B8F" w:rsidRDefault="008D0B8F" w:rsidP="008D0B8F">
      <w:pPr>
        <w:numPr>
          <w:ilvl w:val="1"/>
          <w:numId w:val="6"/>
        </w:numPr>
        <w:ind w:left="720"/>
        <w:contextualSpacing/>
        <w:jc w:val="both"/>
        <w:rPr>
          <w:b/>
          <w:bCs/>
          <w:sz w:val="22"/>
          <w:szCs w:val="22"/>
        </w:rPr>
      </w:pPr>
      <w:r w:rsidRPr="008D0B8F">
        <w:rPr>
          <w:sz w:val="22"/>
          <w:szCs w:val="22"/>
        </w:rPr>
        <w:t>We anticipate continued progress of these vaccines, working in conjunction with NIH and DoD, and we remain focused on the potential of clinical development support from such government entities.</w:t>
      </w:r>
    </w:p>
    <w:p w14:paraId="6259E79B" w14:textId="77777777" w:rsidR="008D0B8F" w:rsidRPr="008D0B8F" w:rsidRDefault="008D0B8F" w:rsidP="008D0B8F">
      <w:pPr>
        <w:rPr>
          <w:b/>
          <w:bCs/>
          <w:sz w:val="22"/>
          <w:szCs w:val="22"/>
        </w:rPr>
      </w:pPr>
    </w:p>
    <w:p w14:paraId="2E17024C" w14:textId="77777777" w:rsidR="008D0B8F" w:rsidRPr="008D0B8F" w:rsidRDefault="008D0B8F" w:rsidP="008D0B8F">
      <w:pPr>
        <w:rPr>
          <w:b/>
          <w:bCs/>
          <w:sz w:val="22"/>
          <w:szCs w:val="22"/>
          <w:u w:val="single"/>
        </w:rPr>
      </w:pPr>
      <w:r w:rsidRPr="008D0B8F">
        <w:rPr>
          <w:b/>
          <w:bCs/>
          <w:sz w:val="22"/>
          <w:szCs w:val="22"/>
          <w:u w:val="single"/>
        </w:rPr>
        <w:t>Goal #4</w:t>
      </w:r>
    </w:p>
    <w:p w14:paraId="43BFE10C" w14:textId="77777777" w:rsidR="008D0B8F" w:rsidRPr="008D0B8F" w:rsidRDefault="008D0B8F" w:rsidP="008D0B8F">
      <w:pPr>
        <w:rPr>
          <w:b/>
          <w:bCs/>
          <w:sz w:val="22"/>
          <w:szCs w:val="22"/>
        </w:rPr>
      </w:pPr>
    </w:p>
    <w:p w14:paraId="33294F1E" w14:textId="77777777" w:rsidR="008D0B8F" w:rsidRPr="008D0B8F" w:rsidRDefault="008D0B8F" w:rsidP="008D0B8F">
      <w:pPr>
        <w:contextualSpacing/>
        <w:rPr>
          <w:b/>
          <w:bCs/>
          <w:sz w:val="22"/>
          <w:szCs w:val="22"/>
          <w:u w:val="single"/>
        </w:rPr>
      </w:pPr>
      <w:r w:rsidRPr="008D0B8F">
        <w:rPr>
          <w:b/>
          <w:bCs/>
          <w:sz w:val="22"/>
          <w:szCs w:val="22"/>
          <w:u w:val="single"/>
        </w:rPr>
        <w:t>Resources and Capabilities</w:t>
      </w:r>
    </w:p>
    <w:p w14:paraId="52CD0FDC" w14:textId="77777777" w:rsidR="008D0B8F" w:rsidRPr="008D0B8F" w:rsidRDefault="008D0B8F" w:rsidP="008D0B8F">
      <w:pPr>
        <w:numPr>
          <w:ilvl w:val="1"/>
          <w:numId w:val="6"/>
        </w:numPr>
        <w:ind w:left="720"/>
        <w:contextualSpacing/>
        <w:jc w:val="both"/>
        <w:rPr>
          <w:b/>
          <w:bCs/>
          <w:sz w:val="22"/>
          <w:szCs w:val="22"/>
        </w:rPr>
      </w:pPr>
      <w:r w:rsidRPr="008D0B8F">
        <w:rPr>
          <w:sz w:val="22"/>
          <w:szCs w:val="22"/>
        </w:rPr>
        <w:t>As we advance our portfolio, we will continue to strive to have appropriate organizational and operational resources to support advancing through clinical development into regulatory registration, including our abilities relative to collaboration and other corporate development activities.  This will continue to be a critical area of focus and evaluation of internal and external opportunities.</w:t>
      </w:r>
    </w:p>
    <w:p w14:paraId="1FE63C39" w14:textId="77777777" w:rsidR="008D0B8F" w:rsidRPr="008D0B8F" w:rsidRDefault="008D0B8F" w:rsidP="008D0B8F">
      <w:pPr>
        <w:rPr>
          <w:b/>
          <w:bCs/>
          <w:sz w:val="22"/>
          <w:szCs w:val="22"/>
        </w:rPr>
      </w:pPr>
    </w:p>
    <w:p w14:paraId="5EA10D41" w14:textId="77777777" w:rsidR="008D0B8F" w:rsidRPr="008D0B8F" w:rsidRDefault="008D0B8F" w:rsidP="008D0B8F">
      <w:pPr>
        <w:jc w:val="both"/>
        <w:rPr>
          <w:i/>
          <w:iCs/>
          <w:sz w:val="22"/>
          <w:szCs w:val="22"/>
        </w:rPr>
      </w:pPr>
      <w:r w:rsidRPr="008D0B8F">
        <w:rPr>
          <w:i/>
          <w:iCs/>
          <w:sz w:val="22"/>
          <w:szCs w:val="22"/>
        </w:rPr>
        <w:t xml:space="preserve">In addition to these goals, we will continue to enhance the communications activities via our website, press releases, social media, broadcast media, relevant conference participation and other venues.  Our intent is to provide timely updates regarding our programs and progress, while also increasing the awareness of GeoVax to various constituencies (i.e., potential investors; potential collaborators; etc.).  </w:t>
      </w:r>
    </w:p>
    <w:p w14:paraId="63865971" w14:textId="77777777" w:rsidR="008D0B8F" w:rsidRPr="008D0B8F" w:rsidRDefault="008D0B8F" w:rsidP="008D0B8F">
      <w:pPr>
        <w:jc w:val="both"/>
        <w:rPr>
          <w:sz w:val="22"/>
          <w:szCs w:val="22"/>
        </w:rPr>
      </w:pPr>
    </w:p>
    <w:p w14:paraId="3422344B" w14:textId="77777777" w:rsidR="008D0B8F" w:rsidRPr="008D0B8F" w:rsidRDefault="008D0B8F" w:rsidP="008D0B8F">
      <w:pPr>
        <w:jc w:val="both"/>
        <w:rPr>
          <w:sz w:val="22"/>
          <w:szCs w:val="22"/>
        </w:rPr>
      </w:pPr>
      <w:r w:rsidRPr="008D0B8F">
        <w:rPr>
          <w:sz w:val="22"/>
          <w:szCs w:val="22"/>
        </w:rPr>
        <w:t xml:space="preserve">In summary, we appreciate your continued support. We are committed to accelerating the clinical development of GEO-CM04S1 and </w:t>
      </w:r>
      <w:proofErr w:type="spellStart"/>
      <w:r w:rsidRPr="008D0B8F">
        <w:rPr>
          <w:sz w:val="22"/>
          <w:szCs w:val="22"/>
        </w:rPr>
        <w:t>Gedeptin</w:t>
      </w:r>
      <w:proofErr w:type="spellEnd"/>
      <w:r w:rsidRPr="008D0B8F">
        <w:rPr>
          <w:sz w:val="22"/>
          <w:szCs w:val="22"/>
          <w:vertAlign w:val="superscript"/>
        </w:rPr>
        <w:t>®</w:t>
      </w:r>
      <w:r w:rsidRPr="008D0B8F">
        <w:rPr>
          <w:sz w:val="22"/>
          <w:szCs w:val="22"/>
        </w:rPr>
        <w:t xml:space="preserve">, advancing our other programs, ensuring resources and capabilities are in place to support increasing our contributions towards improved health worldwide, providing significant value to our shareholders, and promoting a highly motivating environment for high performance-oriented individuals to develop their careers.  On behalf of all of us associated with GeoVax, we wish you a healthy, </w:t>
      </w:r>
      <w:proofErr w:type="gramStart"/>
      <w:r w:rsidRPr="008D0B8F">
        <w:rPr>
          <w:sz w:val="22"/>
          <w:szCs w:val="22"/>
        </w:rPr>
        <w:t>prosperous</w:t>
      </w:r>
      <w:proofErr w:type="gramEnd"/>
      <w:r w:rsidRPr="008D0B8F">
        <w:rPr>
          <w:sz w:val="22"/>
          <w:szCs w:val="22"/>
        </w:rPr>
        <w:t xml:space="preserve"> and wonderful 2022. Thank you.</w:t>
      </w:r>
    </w:p>
    <w:p w14:paraId="1F3CFED5" w14:textId="77777777" w:rsidR="008D0B8F" w:rsidRPr="008D0B8F" w:rsidRDefault="008D0B8F" w:rsidP="008D0B8F">
      <w:pPr>
        <w:jc w:val="both"/>
        <w:rPr>
          <w:sz w:val="22"/>
          <w:szCs w:val="22"/>
        </w:rPr>
      </w:pPr>
    </w:p>
    <w:p w14:paraId="02090634" w14:textId="77777777" w:rsidR="008D0B8F" w:rsidRPr="008D0B8F" w:rsidRDefault="008D0B8F" w:rsidP="008D0B8F">
      <w:pPr>
        <w:jc w:val="both"/>
        <w:rPr>
          <w:sz w:val="22"/>
          <w:szCs w:val="22"/>
        </w:rPr>
      </w:pPr>
      <w:r w:rsidRPr="008D0B8F">
        <w:rPr>
          <w:sz w:val="22"/>
          <w:szCs w:val="22"/>
        </w:rPr>
        <w:t>Sincerely,</w:t>
      </w:r>
    </w:p>
    <w:p w14:paraId="2F3F9DAF" w14:textId="77777777" w:rsidR="008D0B8F" w:rsidRPr="008D0B8F" w:rsidRDefault="008D0B8F" w:rsidP="008D0B8F">
      <w:pPr>
        <w:jc w:val="both"/>
        <w:rPr>
          <w:sz w:val="22"/>
          <w:szCs w:val="22"/>
        </w:rPr>
      </w:pPr>
    </w:p>
    <w:p w14:paraId="3690FD2C" w14:textId="77777777" w:rsidR="008D0B8F" w:rsidRPr="008D0B8F" w:rsidRDefault="008D0B8F" w:rsidP="008D0B8F">
      <w:pPr>
        <w:jc w:val="both"/>
        <w:rPr>
          <w:sz w:val="22"/>
          <w:szCs w:val="22"/>
        </w:rPr>
      </w:pPr>
      <w:r w:rsidRPr="008D0B8F">
        <w:rPr>
          <w:sz w:val="22"/>
          <w:szCs w:val="22"/>
        </w:rPr>
        <w:t>David A. Dodd</w:t>
      </w:r>
    </w:p>
    <w:p w14:paraId="734D4D1C" w14:textId="77777777" w:rsidR="008D0B8F" w:rsidRPr="008D0B8F" w:rsidRDefault="008D0B8F" w:rsidP="008D0B8F">
      <w:pPr>
        <w:jc w:val="both"/>
        <w:rPr>
          <w:sz w:val="22"/>
          <w:szCs w:val="22"/>
        </w:rPr>
      </w:pPr>
      <w:r w:rsidRPr="008D0B8F">
        <w:rPr>
          <w:sz w:val="22"/>
          <w:szCs w:val="22"/>
        </w:rPr>
        <w:t>Chairman, CEO</w:t>
      </w:r>
    </w:p>
    <w:p w14:paraId="779419FD" w14:textId="77777777" w:rsidR="008D0B8F" w:rsidRPr="008D0B8F" w:rsidRDefault="008D0B8F" w:rsidP="008D0B8F">
      <w:pPr>
        <w:jc w:val="both"/>
        <w:rPr>
          <w:sz w:val="22"/>
          <w:szCs w:val="22"/>
        </w:rPr>
      </w:pPr>
      <w:r w:rsidRPr="008D0B8F">
        <w:rPr>
          <w:sz w:val="22"/>
          <w:szCs w:val="22"/>
        </w:rPr>
        <w:t>GeoVax Labs, Inc.</w:t>
      </w:r>
    </w:p>
    <w:p w14:paraId="07B5F1A1" w14:textId="77777777" w:rsidR="008D0B8F" w:rsidRPr="008D0B8F" w:rsidRDefault="008D0B8F" w:rsidP="008D0B8F">
      <w:pPr>
        <w:ind w:left="720"/>
        <w:rPr>
          <w:b/>
          <w:bCs/>
          <w:sz w:val="22"/>
          <w:szCs w:val="22"/>
        </w:rPr>
      </w:pPr>
    </w:p>
    <w:p w14:paraId="6A03648F" w14:textId="77777777" w:rsidR="008D0B8F" w:rsidRPr="008D0B8F" w:rsidRDefault="008D0B8F" w:rsidP="008D0B8F">
      <w:pPr>
        <w:ind w:left="720"/>
        <w:rPr>
          <w:b/>
          <w:bCs/>
          <w:sz w:val="22"/>
          <w:szCs w:val="22"/>
        </w:rPr>
      </w:pPr>
    </w:p>
    <w:p w14:paraId="1F35AF32" w14:textId="77777777" w:rsidR="008D0B8F" w:rsidRPr="008D0B8F" w:rsidRDefault="008D0B8F" w:rsidP="008D0B8F">
      <w:pPr>
        <w:widowControl w:val="0"/>
        <w:shd w:val="clear" w:color="auto" w:fill="FFFFFF"/>
        <w:autoSpaceDE w:val="0"/>
        <w:autoSpaceDN w:val="0"/>
        <w:adjustRightInd w:val="0"/>
        <w:spacing w:after="120"/>
        <w:jc w:val="both"/>
        <w:rPr>
          <w:color w:val="000000"/>
          <w:sz w:val="22"/>
          <w:szCs w:val="22"/>
        </w:rPr>
      </w:pPr>
    </w:p>
    <w:p w14:paraId="2B519A86" w14:textId="76C6169F" w:rsidR="004B3179" w:rsidRPr="008D7E3A" w:rsidRDefault="004B3179" w:rsidP="008D7E3A"/>
    <w:sectPr w:rsidR="004B3179" w:rsidRPr="008D7E3A">
      <w:footerReference w:type="default" r:id="rId10"/>
      <w:headerReference w:type="first" r:id="rId11"/>
      <w:footerReference w:type="first" r:id="rId12"/>
      <w:pgSz w:w="12240" w:h="15840" w:code="1"/>
      <w:pgMar w:top="720" w:right="1440" w:bottom="634"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BEBA" w14:textId="77777777" w:rsidR="00017CF6" w:rsidRDefault="00017CF6" w:rsidP="004422FB">
      <w:r>
        <w:separator/>
      </w:r>
    </w:p>
  </w:endnote>
  <w:endnote w:type="continuationSeparator" w:id="0">
    <w:p w14:paraId="1DBBF5FE" w14:textId="77777777" w:rsidR="00017CF6" w:rsidRDefault="00017CF6"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7C00B8D4" w:rsidR="004422FB" w:rsidRDefault="00A7489D" w:rsidP="00A7489D">
    <w:pPr>
      <w:pStyle w:val="Footer"/>
      <w:jc w:val="center"/>
    </w:pPr>
    <w:r>
      <w:fldChar w:fldCharType="begin"/>
    </w:r>
    <w:r>
      <w:instrText xml:space="preserve"> PAGE   \* MERGEFORMAT </w:instrText>
    </w:r>
    <w:r>
      <w:fldChar w:fldCharType="separate"/>
    </w:r>
    <w:r w:rsidR="00314FC4">
      <w:rPr>
        <w:noProof/>
      </w:rPr>
      <w:t>3</w:t>
    </w:r>
    <w:r>
      <w:rPr>
        <w:noProof/>
      </w:rPr>
      <w:fldChar w:fldCharType="end"/>
    </w:r>
  </w:p>
  <w:p w14:paraId="22F65163" w14:textId="77777777" w:rsidR="008A5F28" w:rsidRDefault="008A5F28" w:rsidP="004422FB">
    <w:pPr>
      <w:pStyle w:val="Footer"/>
    </w:pPr>
  </w:p>
  <w:p w14:paraId="00D1A497" w14:textId="1D4A7FB1" w:rsidR="004422FB" w:rsidRDefault="004422FB" w:rsidP="008A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E48F" w14:textId="77777777" w:rsidR="001D4479" w:rsidRDefault="008D0B8F">
    <w:pPr>
      <w:pStyle w:val="Footer"/>
      <w:jc w:val="center"/>
      <w:rPr>
        <w:b/>
      </w:rPr>
    </w:pPr>
    <w:r>
      <w:rPr>
        <w:b/>
      </w:rPr>
      <w:t>###</w:t>
    </w:r>
  </w:p>
  <w:p w14:paraId="29E32229" w14:textId="77777777" w:rsidR="001D4479" w:rsidRDefault="008D0B8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C6FA" w14:textId="77777777" w:rsidR="001D4479" w:rsidRDefault="008D0B8F">
    <w:pPr>
      <w:pStyle w:val="Footer"/>
    </w:pPr>
  </w:p>
  <w:p w14:paraId="24453E10" w14:textId="77777777" w:rsidR="001D4479" w:rsidRDefault="008D0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18D5" w14:textId="77777777" w:rsidR="00017CF6" w:rsidRDefault="00017CF6" w:rsidP="004422FB">
      <w:r>
        <w:separator/>
      </w:r>
    </w:p>
  </w:footnote>
  <w:footnote w:type="continuationSeparator" w:id="0">
    <w:p w14:paraId="56CB1427" w14:textId="77777777" w:rsidR="00017CF6" w:rsidRDefault="00017CF6"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A92F" w14:textId="77777777" w:rsidR="001D4479" w:rsidRDefault="008D0B8F">
    <w:pPr>
      <w:pStyle w:val="Header"/>
    </w:pPr>
    <w:r>
      <w:rPr>
        <w:b/>
        <w:noProof/>
      </w:rPr>
      <w:drawing>
        <wp:inline distT="0" distB="0" distL="0" distR="0" wp14:anchorId="0A593572" wp14:editId="1B63FB48">
          <wp:extent cx="1892878" cy="501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2A0"/>
    <w:multiLevelType w:val="hybridMultilevel"/>
    <w:tmpl w:val="B00C36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B54AA"/>
    <w:multiLevelType w:val="hybridMultilevel"/>
    <w:tmpl w:val="99F015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41FF2"/>
    <w:multiLevelType w:val="hybridMultilevel"/>
    <w:tmpl w:val="0702196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EA1566"/>
    <w:multiLevelType w:val="hybridMultilevel"/>
    <w:tmpl w:val="54A6D1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4B3179"/>
    <w:rsid w:val="00017CF6"/>
    <w:rsid w:val="000520F7"/>
    <w:rsid w:val="000871C8"/>
    <w:rsid w:val="00087359"/>
    <w:rsid w:val="00096511"/>
    <w:rsid w:val="000E6508"/>
    <w:rsid w:val="001139A5"/>
    <w:rsid w:val="00134BBC"/>
    <w:rsid w:val="00172B54"/>
    <w:rsid w:val="001A687F"/>
    <w:rsid w:val="001B126A"/>
    <w:rsid w:val="001D3520"/>
    <w:rsid w:val="002049D0"/>
    <w:rsid w:val="00246139"/>
    <w:rsid w:val="00277674"/>
    <w:rsid w:val="00296BF7"/>
    <w:rsid w:val="002A45C0"/>
    <w:rsid w:val="002C4E4A"/>
    <w:rsid w:val="002E60D1"/>
    <w:rsid w:val="00304DE8"/>
    <w:rsid w:val="00314FC4"/>
    <w:rsid w:val="00315CD1"/>
    <w:rsid w:val="0034645B"/>
    <w:rsid w:val="00362F3D"/>
    <w:rsid w:val="0036369E"/>
    <w:rsid w:val="00376DEC"/>
    <w:rsid w:val="0037743D"/>
    <w:rsid w:val="003B670F"/>
    <w:rsid w:val="00401F33"/>
    <w:rsid w:val="004041FE"/>
    <w:rsid w:val="00404B0F"/>
    <w:rsid w:val="00415B30"/>
    <w:rsid w:val="0043642A"/>
    <w:rsid w:val="004422FB"/>
    <w:rsid w:val="004562CE"/>
    <w:rsid w:val="004759D1"/>
    <w:rsid w:val="00494777"/>
    <w:rsid w:val="004B3179"/>
    <w:rsid w:val="004D4E0A"/>
    <w:rsid w:val="004E6CB9"/>
    <w:rsid w:val="005108D6"/>
    <w:rsid w:val="0054576E"/>
    <w:rsid w:val="00552D47"/>
    <w:rsid w:val="00583D37"/>
    <w:rsid w:val="005A12FB"/>
    <w:rsid w:val="00652DCC"/>
    <w:rsid w:val="00654112"/>
    <w:rsid w:val="00677F25"/>
    <w:rsid w:val="00691E45"/>
    <w:rsid w:val="006A30B4"/>
    <w:rsid w:val="006A6ADE"/>
    <w:rsid w:val="006B4011"/>
    <w:rsid w:val="006C4831"/>
    <w:rsid w:val="006C673A"/>
    <w:rsid w:val="006E7AA3"/>
    <w:rsid w:val="006F2242"/>
    <w:rsid w:val="007150B5"/>
    <w:rsid w:val="00716A75"/>
    <w:rsid w:val="00734084"/>
    <w:rsid w:val="007578ED"/>
    <w:rsid w:val="00766EB9"/>
    <w:rsid w:val="00780E12"/>
    <w:rsid w:val="007B5113"/>
    <w:rsid w:val="0082793A"/>
    <w:rsid w:val="00883B50"/>
    <w:rsid w:val="0089446A"/>
    <w:rsid w:val="008A5F28"/>
    <w:rsid w:val="008B71BC"/>
    <w:rsid w:val="008B7616"/>
    <w:rsid w:val="008D0B8F"/>
    <w:rsid w:val="008D3E76"/>
    <w:rsid w:val="008D7E3A"/>
    <w:rsid w:val="008E4E77"/>
    <w:rsid w:val="00903941"/>
    <w:rsid w:val="00920CCF"/>
    <w:rsid w:val="00922B4A"/>
    <w:rsid w:val="009B15B2"/>
    <w:rsid w:val="009F16FD"/>
    <w:rsid w:val="009F32C7"/>
    <w:rsid w:val="009F7B30"/>
    <w:rsid w:val="00A213F5"/>
    <w:rsid w:val="00A44E68"/>
    <w:rsid w:val="00A641D3"/>
    <w:rsid w:val="00A733F8"/>
    <w:rsid w:val="00A7343F"/>
    <w:rsid w:val="00A7489D"/>
    <w:rsid w:val="00A7711D"/>
    <w:rsid w:val="00A77550"/>
    <w:rsid w:val="00AA3D35"/>
    <w:rsid w:val="00B44E7B"/>
    <w:rsid w:val="00B4616E"/>
    <w:rsid w:val="00B51502"/>
    <w:rsid w:val="00B57F61"/>
    <w:rsid w:val="00B61191"/>
    <w:rsid w:val="00BA446A"/>
    <w:rsid w:val="00BB7014"/>
    <w:rsid w:val="00BC6551"/>
    <w:rsid w:val="00BE0F8F"/>
    <w:rsid w:val="00BF415F"/>
    <w:rsid w:val="00C36B57"/>
    <w:rsid w:val="00C53991"/>
    <w:rsid w:val="00C713DF"/>
    <w:rsid w:val="00C815CE"/>
    <w:rsid w:val="00CB1EAA"/>
    <w:rsid w:val="00CB3D5C"/>
    <w:rsid w:val="00CC1BAA"/>
    <w:rsid w:val="00CC52F4"/>
    <w:rsid w:val="00CC6077"/>
    <w:rsid w:val="00CD55C2"/>
    <w:rsid w:val="00CE3919"/>
    <w:rsid w:val="00D041E0"/>
    <w:rsid w:val="00D128D7"/>
    <w:rsid w:val="00D17971"/>
    <w:rsid w:val="00D215E7"/>
    <w:rsid w:val="00D53F6F"/>
    <w:rsid w:val="00D60567"/>
    <w:rsid w:val="00D95C48"/>
    <w:rsid w:val="00DC7DD0"/>
    <w:rsid w:val="00DE728B"/>
    <w:rsid w:val="00DE7BBA"/>
    <w:rsid w:val="00E115D3"/>
    <w:rsid w:val="00E30F6C"/>
    <w:rsid w:val="00E633E7"/>
    <w:rsid w:val="00E77BC6"/>
    <w:rsid w:val="00EB5CF9"/>
    <w:rsid w:val="00F073F4"/>
    <w:rsid w:val="00F100FC"/>
    <w:rsid w:val="00F10BB8"/>
    <w:rsid w:val="00F13A9C"/>
    <w:rsid w:val="00F2058C"/>
    <w:rsid w:val="00F23A64"/>
    <w:rsid w:val="00F27385"/>
    <w:rsid w:val="00F53643"/>
    <w:rsid w:val="00F65C64"/>
    <w:rsid w:val="00F737D0"/>
    <w:rsid w:val="00F92B94"/>
    <w:rsid w:val="00F958BB"/>
    <w:rsid w:val="00FD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character" w:styleId="CommentReference">
    <w:name w:val="annotation reference"/>
    <w:basedOn w:val="DefaultParagraphFont"/>
    <w:uiPriority w:val="99"/>
    <w:semiHidden/>
    <w:unhideWhenUsed/>
    <w:rsid w:val="00BA446A"/>
    <w:rPr>
      <w:sz w:val="16"/>
      <w:szCs w:val="16"/>
    </w:rPr>
  </w:style>
  <w:style w:type="paragraph" w:styleId="CommentText">
    <w:name w:val="annotation text"/>
    <w:basedOn w:val="Normal"/>
    <w:link w:val="CommentTextChar"/>
    <w:uiPriority w:val="99"/>
    <w:semiHidden/>
    <w:unhideWhenUsed/>
    <w:rsid w:val="00BA446A"/>
    <w:rPr>
      <w:sz w:val="20"/>
      <w:szCs w:val="20"/>
    </w:rPr>
  </w:style>
  <w:style w:type="character" w:customStyle="1" w:styleId="CommentTextChar">
    <w:name w:val="Comment Text Char"/>
    <w:basedOn w:val="DefaultParagraphFont"/>
    <w:link w:val="CommentText"/>
    <w:uiPriority w:val="99"/>
    <w:semiHidden/>
    <w:rsid w:val="00BA446A"/>
  </w:style>
  <w:style w:type="paragraph" w:styleId="CommentSubject">
    <w:name w:val="annotation subject"/>
    <w:basedOn w:val="CommentText"/>
    <w:next w:val="CommentText"/>
    <w:link w:val="CommentSubjectChar"/>
    <w:uiPriority w:val="99"/>
    <w:semiHidden/>
    <w:unhideWhenUsed/>
    <w:rsid w:val="00BA446A"/>
    <w:rPr>
      <w:b/>
      <w:bCs/>
    </w:rPr>
  </w:style>
  <w:style w:type="character" w:customStyle="1" w:styleId="CommentSubjectChar">
    <w:name w:val="Comment Subject Char"/>
    <w:basedOn w:val="CommentTextChar"/>
    <w:link w:val="CommentSubject"/>
    <w:uiPriority w:val="99"/>
    <w:semiHidden/>
    <w:rsid w:val="00BA4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eovax.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2AE93-5E1D-4A24-8943-116365E3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2</cp:revision>
  <dcterms:created xsi:type="dcterms:W3CDTF">2022-01-03T21:53:00Z</dcterms:created>
  <dcterms:modified xsi:type="dcterms:W3CDTF">2022-01-03T21:53:00Z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54698183v1</vt:lpwstr>
  </property>
</Properties>
</file>